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00" w:rsidRDefault="00733E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3"/>
        <w:gridCol w:w="1276"/>
        <w:gridCol w:w="425"/>
        <w:gridCol w:w="991"/>
        <w:gridCol w:w="710"/>
        <w:gridCol w:w="1290"/>
        <w:gridCol w:w="840"/>
        <w:gridCol w:w="1984"/>
      </w:tblGrid>
      <w:tr w:rsidR="00733E00"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733E00"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733E00"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Zagrożenia w logistyce</w:t>
            </w:r>
          </w:p>
        </w:tc>
      </w:tr>
      <w:tr w:rsidR="00733E00"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733E00"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733E00" w:rsidTr="006F4EEE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733E00" w:rsidTr="006F4EEE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E00" w:rsidRDefault="0073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IV</w:t>
            </w:r>
          </w:p>
        </w:tc>
      </w:tr>
      <w:tr w:rsidR="00733E00" w:rsidTr="006F4EEE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E00" w:rsidRDefault="0056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6F4EE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  <w:r w:rsidR="006F4EE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0pr</w:t>
            </w:r>
          </w:p>
        </w:tc>
      </w:tr>
      <w:tr w:rsidR="00733E00" w:rsidTr="006F4EEE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33E00" w:rsidTr="006F4EEE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733E00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Paweł Sobczak</w:t>
            </w:r>
          </w:p>
        </w:tc>
      </w:tr>
      <w:tr w:rsidR="00733E00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Ćwiczenia, projekt</w:t>
            </w:r>
            <w:r w:rsidR="001F0D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F0D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733E00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przedmiotu jest zapoznanie studentów z podstawowymi zagrożeniami występującymi podczas procesów logistycznych. W ramach przedmiotu przekazywane są zagadnienia związane z prawidłowym oznaczaniem ładunków niebezpiecznych oraz zasadami wykonywania prac magazynowych.</w:t>
            </w:r>
          </w:p>
        </w:tc>
      </w:tr>
      <w:tr w:rsidR="00733E00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1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73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73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33E00">
        <w:trPr>
          <w:trHeight w:val="288"/>
        </w:trPr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T2_W04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Wymienia i rozróżnia klasy materiałów niebezpiecznych;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ćwiczeń;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ustne;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T2_W04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Wymienia i rozróżnia metody oznaczania i zabezpieczania ładunków;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ustne;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T2_W04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Wymienia i rozróżnia ręczne znaki podczas operacji przeładunkowych;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ustne;</w:t>
            </w:r>
          </w:p>
        </w:tc>
      </w:tr>
      <w:tr w:rsidR="00733E00">
        <w:trPr>
          <w:trHeight w:val="288"/>
        </w:trPr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określić rodzaj niebezpieczeństwa na podstawie piktogramu;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ustne;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dobrać odpowiednie oznaczenie niebezpieczeństwa;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  <w:r w:rsidR="003E0EE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ustne;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dobrać oraz zaplanować oznaczenie i przygotowanie jednostki ładunkowej;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ćwiczeń;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ustne;</w:t>
            </w:r>
          </w:p>
        </w:tc>
      </w:tr>
      <w:tr w:rsidR="00733E00">
        <w:trPr>
          <w:trHeight w:val="288"/>
        </w:trPr>
        <w:tc>
          <w:tcPr>
            <w:tcW w:w="9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Zachowuje otwartość na nowe zagadnienia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udziału studentów w dyskusji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Obserwacja w trakcie zajęć;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T2_K01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Dąży do realizacji powierzonych zadań;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udziału studentów w dyskusji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Obserwacja w trakcie zajęć;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Przewiduje skutki podejmowanych działań;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udziału studentów w dyskusji</w:t>
            </w:r>
          </w:p>
          <w:p w:rsidR="00733E00" w:rsidRDefault="006F4EE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Obserwacja w trakcie zajęć;</w:t>
            </w:r>
          </w:p>
        </w:tc>
      </w:tr>
      <w:tr w:rsidR="00733E00">
        <w:trPr>
          <w:trHeight w:val="425"/>
        </w:trPr>
        <w:tc>
          <w:tcPr>
            <w:tcW w:w="9429" w:type="dxa"/>
            <w:gridSpan w:val="9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33E00">
        <w:trPr>
          <w:trHeight w:val="283"/>
        </w:trPr>
        <w:tc>
          <w:tcPr>
            <w:tcW w:w="4605" w:type="dxa"/>
            <w:gridSpan w:val="5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562D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562D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zaliczenia/egzaminu = </w:t>
            </w:r>
            <w:r w:rsidR="00562D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562D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=1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562D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RAZEM:76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ECTS:3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  <w:tc>
          <w:tcPr>
            <w:tcW w:w="4824" w:type="dxa"/>
            <w:gridSpan w:val="4"/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733E00" w:rsidRDefault="006F4EEE" w:rsidP="003E0E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Klasy materiałów niebezpiecznych</w:t>
            </w:r>
          </w:p>
          <w:p w:rsidR="00733E00" w:rsidRDefault="006F4EEE" w:rsidP="003E0E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Oznaczenia materiałów niebezpiecznych</w:t>
            </w:r>
          </w:p>
          <w:p w:rsidR="00733E00" w:rsidRDefault="006F4EEE" w:rsidP="003E0E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Zasady zabezpieczania ładunków w logistyce</w:t>
            </w:r>
          </w:p>
          <w:p w:rsidR="00733E00" w:rsidRDefault="006F4EEE" w:rsidP="003E0E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Sygnały ręczne przy pracach przeładunkowych</w:t>
            </w:r>
          </w:p>
          <w:p w:rsidR="00733E00" w:rsidRDefault="00733E00" w:rsidP="003E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:rsidR="00733E00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Aktualne akty prawne związane z przewozem materiałów niebezpiecznych.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Umowa ADR (fragmenty), Regulamin RID (fragmenty), umowa ADN (fragmenty)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Rozporządzenie w sprawie bezpieczeństwa i higieny pracy przy ręcznych pracach transportowych</w:t>
            </w:r>
          </w:p>
        </w:tc>
      </w:tr>
      <w:tr w:rsidR="00733E00" w:rsidRPr="003E0EEA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Pr="006F4EEE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Piotr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Gorzelanczyk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Maciej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Krawiec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Tomáš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Kalina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Martin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Jurkovič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Risk Assessment in the Transport of Hazardous Materials on the Example of the Greater Voivodeship, Transportation Research Procedia, Volume 44, 2020, Pages 283-289, ISSN 2352-1465, </w:t>
            </w:r>
            <w:hyperlink r:id="rId6">
              <w:r w:rsidRPr="006F4EEE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CA"/>
                </w:rPr>
                <w:t>https://doi.org/10.1016/j.trpro.2020.02.041</w:t>
              </w:r>
            </w:hyperlink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.</w:t>
            </w:r>
          </w:p>
          <w:p w:rsidR="00733E00" w:rsidRPr="006F4EEE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</w:p>
          <w:p w:rsidR="00733E00" w:rsidRPr="006F4EEE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Di Fazio, D. Bettinelli, E.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Louette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J.P.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Mechin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M.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Zazza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P.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Vecchiarelli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L. </w:t>
            </w:r>
            <w:proofErr w:type="spellStart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Domanico</w:t>
            </w:r>
            <w:proofErr w:type="spellEnd"/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European Pathways to Introduce EGNOS and Galileo for Dangerous Goods Transport, Transportation Research Procedia, Volume 14, 2016, Pages 1482-1491, ISSN 2352-1465, </w:t>
            </w:r>
            <w:hyperlink r:id="rId7">
              <w:r w:rsidRPr="006F4EEE"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  <w:lang w:val="en-CA"/>
                </w:rPr>
                <w:t>https://doi.org/10.1016/j.trpro.2016.05.222</w:t>
              </w:r>
            </w:hyperlink>
            <w:r w:rsidRPr="006F4EE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.</w:t>
            </w:r>
          </w:p>
          <w:p w:rsidR="00733E00" w:rsidRPr="006F4EEE" w:rsidRDefault="0073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Sobczak P., Wąchała J.: Ocena wpływu systemów kontroli kierowcy na poprawę bezpieczeństwa w transporcie drogowym w opinii kierowców – Czasopismo „ Autobusy. Technika, Eksploatacja, Systemy Transportowe” 9/2017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Sobczak P., Wąchała J.: Ocena wpływu systemów zwiększających komfort pracy kierowcy na poprawę bezpieczeństwa w transporcie drogowym w opinii kierowców – Czasopismo „ Autobusy. Technika, Eksploatacja, Systemy Transportowe” 9/2017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:rsidR="00733E00" w:rsidRPr="003E0EEA" w:rsidRDefault="006F4EEE" w:rsidP="003E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3E0EE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733E00" w:rsidRDefault="006F4EEE" w:rsidP="003E0E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dyskusja, praca indywidualna</w:t>
            </w:r>
          </w:p>
          <w:p w:rsidR="00733E00" w:rsidRDefault="006F4EEE" w:rsidP="003E0E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ćwiczeniowych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multimedialna, teksty źródłowe, materiały przedstawiające sytuacje niebezpieczne i ich skutki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3E0EE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ramach projektu studenci mają za zadanie opracować koncepcję zabezpieczenia wybranego materiału niebezpiecznego wraz z przygotowaniem dokumentacji opisowej.</w:t>
            </w:r>
          </w:p>
        </w:tc>
      </w:tr>
      <w:tr w:rsidR="00733E00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:rsidR="003E0EEA" w:rsidRDefault="006F4EEE" w:rsidP="003E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</w:p>
          <w:p w:rsidR="00733E00" w:rsidRPr="003E0EEA" w:rsidRDefault="003E0EEA" w:rsidP="003E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</w:t>
            </w:r>
            <w:r w:rsidR="006F4EEE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e-learning)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0" w:rsidRDefault="006F4EEE" w:rsidP="006F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Ramowym Systemie Ocen Studentów w Akademii WSB.</w:t>
            </w:r>
          </w:p>
        </w:tc>
      </w:tr>
    </w:tbl>
    <w:p w:rsidR="00733E00" w:rsidRDefault="006F4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733E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5E3C"/>
    <w:multiLevelType w:val="multilevel"/>
    <w:tmpl w:val="D6F2AA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FC202A3"/>
    <w:multiLevelType w:val="multilevel"/>
    <w:tmpl w:val="C76E6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7B0CF3"/>
    <w:multiLevelType w:val="multilevel"/>
    <w:tmpl w:val="E15056C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00"/>
    <w:rsid w:val="001F0DA6"/>
    <w:rsid w:val="003E0EEA"/>
    <w:rsid w:val="00562D39"/>
    <w:rsid w:val="006F4EEE"/>
    <w:rsid w:val="007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F661A"/>
  <w15:docId w15:val="{DB2B0F49-0CC9-4184-B1EE-63AE98D8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16/j.trpro.2016.05.2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trpro.2020.02.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ysCgPPIYDCYszkNi378T4UrcQ==">AMUW2mWYIWt4aZvHzqyfTHgCO4iRptiXwwIw4WbmtKF7hFb6z3Bppz8MSzhaew3UWWSTZH2o4INDriltm9Ct30dJHWFzJ+TakplBJSfX8eCsPdN9F0pZC9Fw3od03aqmXO05C5B0ouhk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5043</Characters>
  <Application>Microsoft Office Word</Application>
  <DocSecurity>0</DocSecurity>
  <Lines>42</Lines>
  <Paragraphs>11</Paragraphs>
  <ScaleCrop>false</ScaleCrop>
  <Company>HP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2021-09-08T07:54:00Z</dcterms:created>
  <dcterms:modified xsi:type="dcterms:W3CDTF">2022-05-23T08:38:00Z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