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ADB" w:rsidRDefault="00D3318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6" w:type="dxa"/>
        <w:tblInd w:w="1283" w:type="dxa"/>
        <w:tblCellMar>
          <w:top w:w="74" w:type="dxa"/>
          <w:left w:w="66" w:type="dxa"/>
        </w:tblCellMar>
        <w:tblLook w:val="04A0" w:firstRow="1" w:lastRow="0" w:firstColumn="1" w:lastColumn="0" w:noHBand="0" w:noVBand="1"/>
      </w:tblPr>
      <w:tblGrid>
        <w:gridCol w:w="1981"/>
        <w:gridCol w:w="1135"/>
        <w:gridCol w:w="568"/>
        <w:gridCol w:w="1842"/>
        <w:gridCol w:w="1988"/>
        <w:gridCol w:w="1982"/>
      </w:tblGrid>
      <w:tr w:rsidR="00634ADB">
        <w:trPr>
          <w:trHeight w:val="497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4ADB" w:rsidRDefault="00D33187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 </w:t>
            </w:r>
          </w:p>
          <w:p w:rsidR="00634ADB" w:rsidRDefault="00D33187">
            <w:pPr>
              <w:ind w:right="7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Wydział w Krakowie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3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Przedmiot: Polski proces karny- wybrane zagadnienia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31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29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31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634AD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634ADB"/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righ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634ADB">
        <w:trPr>
          <w:trHeight w:val="59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634ADB" w:rsidRDefault="00D33187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righ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34ADB">
        <w:trPr>
          <w:trHeight w:val="5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634ADB" w:rsidRDefault="00D33187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18ćw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DB" w:rsidRDefault="00D33187">
            <w:pPr>
              <w:ind w:left="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34ADB">
        <w:trPr>
          <w:trHeight w:val="55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JĘZYK PROWADZENIA PRZEDMIOTU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polski </w:t>
            </w:r>
          </w:p>
        </w:tc>
      </w:tr>
      <w:tr w:rsidR="00634ADB">
        <w:trPr>
          <w:trHeight w:val="55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WYKŁADOWCA 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34ADB">
        <w:trPr>
          <w:trHeight w:val="36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Ćwiczenia  </w:t>
            </w:r>
          </w:p>
        </w:tc>
      </w:tr>
      <w:tr w:rsidR="00634ADB">
        <w:trPr>
          <w:trHeight w:val="8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 w:right="3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Założeniem i celem przedmiotu jest zrozumienie zasad prowadzenia procesu karnego i funkcjonowania organów procesowych; przyswojenia podstawowej siatki pojęciowej postępowania karnego dla umiejętnego posługiwania się nią podczas przyszłej pracy.  </w:t>
            </w:r>
          </w:p>
        </w:tc>
      </w:tr>
      <w:tr w:rsidR="00634ADB">
        <w:trPr>
          <w:trHeight w:val="366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3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39"/>
        </w:trPr>
        <w:tc>
          <w:tcPr>
            <w:tcW w:w="1982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634AD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634ADB"/>
        </w:tc>
      </w:tr>
      <w:tr w:rsidR="00634ADB">
        <w:trPr>
          <w:trHeight w:val="352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59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BN2_W11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P7S_WK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podstawy prawne procesu karnego i funkcjonowania organów procesowych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 w:right="60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  </w:t>
            </w:r>
          </w:p>
        </w:tc>
      </w:tr>
      <w:tr w:rsidR="00634ADB">
        <w:trPr>
          <w:trHeight w:val="59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BN2_W01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i rozumie główne zależności procesowe w przebiegu procesu karnego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 w:right="60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  </w:t>
            </w:r>
          </w:p>
        </w:tc>
      </w:tr>
      <w:tr w:rsidR="00634ADB">
        <w:trPr>
          <w:trHeight w:val="8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BN2_W03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zakres odpowiedzialności poszczególnych osób i organów biorących udział w przebiegu procesu karnego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 w:right="60"/>
            </w:pPr>
            <w:r>
              <w:rPr>
                <w:rFonts w:ascii="Arial" w:eastAsia="Arial" w:hAnsi="Arial" w:cs="Arial"/>
                <w:sz w:val="20"/>
              </w:rPr>
              <w:t xml:space="preserve">Test wiedzy na zaliczenie  </w:t>
            </w:r>
          </w:p>
        </w:tc>
      </w:tr>
      <w:tr w:rsidR="00634ADB">
        <w:trPr>
          <w:trHeight w:val="348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75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BN2_U02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 w:right="46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potrafi dokonać i analizy mechanizmów funkcjonowania organów procesowych postępowania przygotowawczego i jurysdykcyjnego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oraz aktów prawnych w trakcie zajęć.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74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lastRenderedPageBreak/>
              <w:t xml:space="preserve">BN2_U01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Student posiada umiejętność dokonywania analizy i oceny materiału dowodowego w postepowaniu karnym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oraz aktów prawnych w trakcie zajęć.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76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BN2_U08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P7S_UK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634ADB" w:rsidRDefault="00D33187">
            <w:pPr>
              <w:ind w:left="4" w:right="40"/>
            </w:pPr>
            <w:r>
              <w:rPr>
                <w:rFonts w:ascii="Arial" w:eastAsia="Arial" w:hAnsi="Arial" w:cs="Arial"/>
                <w:sz w:val="20"/>
              </w:rPr>
              <w:t xml:space="preserve">Student potrafi w sposób klarowny i spójny wypowiadać się na tematy dotyczące postepowania procesowego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634ADB" w:rsidRDefault="00D3318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oraz aktów prawnych w trakcie zajęć.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33"/>
        </w:trPr>
        <w:tc>
          <w:tcPr>
            <w:tcW w:w="9496" w:type="dxa"/>
            <w:gridSpan w:val="6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4ADB" w:rsidRDefault="00D33187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79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BN2_K01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P7S_KK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Jest gotów do krytycznej oceny posiadanej przez siebie wiedzy i umiejętności z zakresu zasad polskiego procesu karnego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oraz aktów prawnych w trakcie zajęć.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634ADB">
        <w:trPr>
          <w:trHeight w:val="79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BN2_K02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P7S_KO  </w:t>
            </w:r>
          </w:p>
        </w:tc>
        <w:tc>
          <w:tcPr>
            <w:tcW w:w="4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Jest gotów do działania na rzecz bezpieczeństwa narodowego w ramach współpracy z instytucjami państwowymi i społecznymi,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Analiza przypadków oraz aktów prawnych w trakcie zajęć. 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34ADB" w:rsidRDefault="00634ADB">
      <w:pPr>
        <w:spacing w:after="0"/>
        <w:ind w:right="12"/>
      </w:pPr>
    </w:p>
    <w:tbl>
      <w:tblPr>
        <w:tblStyle w:val="TableGrid"/>
        <w:tblW w:w="9499" w:type="dxa"/>
        <w:tblInd w:w="1282" w:type="dxa"/>
        <w:tblCellMar>
          <w:top w:w="91" w:type="dxa"/>
          <w:left w:w="67" w:type="dxa"/>
          <w:right w:w="8" w:type="dxa"/>
        </w:tblCellMar>
        <w:tblLook w:val="04A0" w:firstRow="1" w:lastRow="0" w:firstColumn="1" w:lastColumn="0" w:noHBand="0" w:noVBand="1"/>
      </w:tblPr>
      <w:tblGrid>
        <w:gridCol w:w="1982"/>
        <w:gridCol w:w="2769"/>
        <w:gridCol w:w="4748"/>
      </w:tblGrid>
      <w:tr w:rsidR="00634ADB">
        <w:trPr>
          <w:trHeight w:val="490"/>
        </w:trPr>
        <w:tc>
          <w:tcPr>
            <w:tcW w:w="9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3526"/>
        </w:trPr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CC2851" w:rsidRDefault="00D33187" w:rsidP="00CC2851">
            <w:pPr>
              <w:spacing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634ADB" w:rsidRDefault="00D33187" w:rsidP="00CC2851">
            <w:pPr>
              <w:spacing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634ADB" w:rsidRDefault="00D33187" w:rsidP="00CC2851"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634ADB" w:rsidRDefault="00D33187" w:rsidP="00CC2851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634ADB" w:rsidRDefault="00D33187" w:rsidP="00CC2851">
            <w:pPr>
              <w:tabs>
                <w:tab w:val="center" w:pos="1430"/>
                <w:tab w:val="center" w:pos="3563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\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Niestacjonarne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przygotowanie do ćwiczeń = 30 h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przygotowanie do wykładu = 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25h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CC2851" w:rsidRDefault="00D33187" w:rsidP="00CC2851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634ADB" w:rsidRDefault="00D33187" w:rsidP="00CC2851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634ADB" w:rsidRDefault="00D33187" w:rsidP="00CC2851"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634ADB" w:rsidRDefault="00D33187" w:rsidP="00CC2851"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634ADB" w:rsidRDefault="00D33187" w:rsidP="00CC2851"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634ADB" w:rsidRDefault="00D33187" w:rsidP="00CC2851"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3 </w:t>
            </w:r>
          </w:p>
        </w:tc>
      </w:tr>
      <w:tr w:rsidR="00634ADB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wymaga się  </w:t>
            </w:r>
          </w:p>
        </w:tc>
      </w:tr>
      <w:tr w:rsidR="00634ADB">
        <w:trPr>
          <w:trHeight w:val="502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 </w:t>
            </w:r>
          </w:p>
          <w:p w:rsidR="00634ADB" w:rsidRDefault="00D33187">
            <w:pPr>
              <w:spacing w:after="28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6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Pojęcie procesu karnego i jego funkcji.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4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Źródła prawa karnego procesowego i ich hierarchia.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3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Cel procesu karnego.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6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Przedmiot procesu karnego.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6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Działy prawa karnego procesowego.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5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Postępowanie zasadnicze i dodatkowe.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5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Ogólne zagadnienia o naczelnych zasadach procesu karnego i ich podział.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7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Przesłanki procesowe.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2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Organy procesowe postępowania przygotowawczego i jurysdykcyjnego.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5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Właściwości sądów.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9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Składy sądów.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23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Spory kompetencyjne.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18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Strony procesowe postępowania przygotowawczego i jurysdykcyjnego.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22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Uczestnicy postępowania karnego.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23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Czynności procesowe – pojęcie, rodzaje i podziały.   </w:t>
            </w:r>
          </w:p>
          <w:p w:rsidR="00634ADB" w:rsidRDefault="00D33187">
            <w:pPr>
              <w:numPr>
                <w:ilvl w:val="0"/>
                <w:numId w:val="1"/>
              </w:numPr>
              <w:spacing w:after="22"/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Ogólne wiadomości o dowodach – pojęcie, rodzaje i podziały dowodów.  </w:t>
            </w:r>
          </w:p>
          <w:p w:rsidR="00634ADB" w:rsidRDefault="00D33187">
            <w:pPr>
              <w:numPr>
                <w:ilvl w:val="0"/>
                <w:numId w:val="1"/>
              </w:numPr>
              <w:ind w:hanging="550"/>
            </w:pPr>
            <w:r>
              <w:rPr>
                <w:rFonts w:ascii="Arial" w:eastAsia="Arial" w:hAnsi="Arial" w:cs="Arial"/>
                <w:sz w:val="20"/>
              </w:rPr>
              <w:t xml:space="preserve">Środki przymusu – pojęcie, podział i rodzaje.   </w:t>
            </w:r>
          </w:p>
          <w:p w:rsidR="00634ADB" w:rsidRDefault="00D33187">
            <w:pPr>
              <w:ind w:left="521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  <w:p w:rsidR="00634ADB" w:rsidRDefault="00D33187">
            <w:pPr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 </w:t>
            </w:r>
          </w:p>
        </w:tc>
      </w:tr>
      <w:tr w:rsidR="00634ADB">
        <w:trPr>
          <w:trHeight w:val="151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spacing w:line="295" w:lineRule="auto"/>
              <w:ind w:left="5" w:right="1445"/>
            </w:pPr>
            <w:r>
              <w:rPr>
                <w:rFonts w:ascii="Arial" w:eastAsia="Arial" w:hAnsi="Arial" w:cs="Arial"/>
                <w:sz w:val="20"/>
              </w:rPr>
              <w:t xml:space="preserve">1. C. Kulesza, P. Starzyński, Postępowanie karne, Wydanie: 3,Warszawa 2020  2. T. Grzegorczyk, J. Tylman, Polskie postępowanie karne, Warszawa 2015.  </w:t>
            </w:r>
          </w:p>
          <w:p w:rsidR="00634ADB" w:rsidRDefault="00D33187">
            <w:pPr>
              <w:numPr>
                <w:ilvl w:val="0"/>
                <w:numId w:val="2"/>
              </w:numPr>
              <w:spacing w:after="34"/>
              <w:ind w:left="234" w:hanging="229"/>
            </w:pPr>
            <w:r>
              <w:rPr>
                <w:rFonts w:ascii="Arial" w:eastAsia="Arial" w:hAnsi="Arial" w:cs="Arial"/>
                <w:sz w:val="20"/>
              </w:rPr>
              <w:t xml:space="preserve">S. Waltoś, P. Hofmański, Proces karny. Zarys systemu, Warszawa 2016.  </w:t>
            </w:r>
          </w:p>
          <w:p w:rsidR="00634ADB" w:rsidRDefault="00D33187">
            <w:pPr>
              <w:numPr>
                <w:ilvl w:val="0"/>
                <w:numId w:val="2"/>
              </w:numPr>
              <w:spacing w:after="34"/>
              <w:ind w:left="234" w:hanging="229"/>
            </w:pPr>
            <w:r>
              <w:rPr>
                <w:rFonts w:ascii="Arial" w:eastAsia="Arial" w:hAnsi="Arial" w:cs="Arial"/>
                <w:sz w:val="20"/>
              </w:rPr>
              <w:t xml:space="preserve">Hofmański, P. (red.) (2023). Kodeks postępowania karnego. Komentarz. Warszawa: C.H. Beck. </w:t>
            </w:r>
          </w:p>
          <w:p w:rsidR="00634ADB" w:rsidRDefault="00D33187">
            <w:pPr>
              <w:numPr>
                <w:ilvl w:val="0"/>
                <w:numId w:val="2"/>
              </w:numPr>
              <w:ind w:left="234" w:hanging="229"/>
            </w:pPr>
            <w:r>
              <w:rPr>
                <w:rFonts w:ascii="Arial" w:eastAsia="Arial" w:hAnsi="Arial" w:cs="Arial"/>
                <w:sz w:val="20"/>
              </w:rPr>
              <w:t xml:space="preserve">Skorupka, J. (red.) (2022). Proces karny. Warszawa: Wolters Kluwer. </w:t>
            </w:r>
          </w:p>
          <w:p w:rsidR="00634ADB" w:rsidRDefault="00D33187">
            <w:pPr>
              <w:ind w:left="365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634ADB">
        <w:trPr>
          <w:trHeight w:val="189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spacing w:after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numPr>
                <w:ilvl w:val="0"/>
                <w:numId w:val="3"/>
              </w:numPr>
              <w:spacing w:after="28" w:line="248" w:lineRule="auto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A. Kania, General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directives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judicial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sentencing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remarks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context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Polish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Criminal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 Nowa Kodyfikacja Prawa Karnego.  T. 47 (2018), s. 11-23.  </w:t>
            </w:r>
          </w:p>
          <w:p w:rsidR="00634ADB" w:rsidRDefault="00D33187">
            <w:pPr>
              <w:numPr>
                <w:ilvl w:val="0"/>
                <w:numId w:val="3"/>
              </w:numPr>
              <w:spacing w:after="22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1.Grzegorczyk, T.; Tylman, J. (2021). Polskie postępowanie karne. Warszawa: Wolters Kluwer. </w:t>
            </w:r>
          </w:p>
          <w:p w:rsidR="00634ADB" w:rsidRDefault="00D33187">
            <w:pPr>
              <w:numPr>
                <w:ilvl w:val="0"/>
                <w:numId w:val="3"/>
              </w:numPr>
              <w:spacing w:after="35" w:line="241" w:lineRule="auto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2.Stefański, R. A. (red.) (2021). Kodeks postępowania karnego. Komentarz. Warszawa: C.H. Beck. </w:t>
            </w:r>
          </w:p>
          <w:p w:rsidR="00634ADB" w:rsidRDefault="00D33187">
            <w:pPr>
              <w:numPr>
                <w:ilvl w:val="0"/>
                <w:numId w:val="3"/>
              </w:numPr>
              <w:spacing w:after="37" w:line="239" w:lineRule="auto"/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3.Roberts, P.;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Zuckerman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A.; Jackson, G. (2022).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Criminal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Evidence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Oxford: Oxford University Press. </w:t>
            </w:r>
          </w:p>
          <w:p w:rsidR="00634ADB" w:rsidRDefault="00D33187">
            <w:pPr>
              <w:numPr>
                <w:ilvl w:val="0"/>
                <w:numId w:val="3"/>
              </w:numPr>
              <w:ind w:left="366" w:hanging="36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4.Redmayne, M. (2023).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Character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Evidence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in the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Criminal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Trial. Oxford: Oxford University Pres </w:t>
            </w:r>
          </w:p>
        </w:tc>
      </w:tr>
      <w:tr w:rsidR="00634ADB">
        <w:trPr>
          <w:trHeight w:val="84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634ADB" w:rsidRDefault="00D33187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34ADB">
        <w:trPr>
          <w:trHeight w:val="5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Z </w:t>
            </w:r>
          </w:p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TEMATYKĄ MODUŁU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634ADB"/>
        </w:tc>
      </w:tr>
      <w:tr w:rsidR="00634ADB">
        <w:trPr>
          <w:trHeight w:val="102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5" w:right="1793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ćwieczenia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prezentacje multimedialne, teksty źródłowe, dyskusja w grupach  W formie e-learning: nie dotyczy  </w:t>
            </w:r>
          </w:p>
        </w:tc>
      </w:tr>
      <w:tr w:rsidR="00634ADB">
        <w:trPr>
          <w:trHeight w:val="74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numPr>
                <w:ilvl w:val="0"/>
                <w:numId w:val="4"/>
              </w:numPr>
              <w:spacing w:after="17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prezentacja multimedialna,   </w:t>
            </w:r>
          </w:p>
          <w:p w:rsidR="00634ADB" w:rsidRDefault="00D33187">
            <w:pPr>
              <w:numPr>
                <w:ilvl w:val="0"/>
                <w:numId w:val="4"/>
              </w:numPr>
              <w:spacing w:after="14"/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teksty źródłowe,  </w:t>
            </w:r>
          </w:p>
          <w:p w:rsidR="00634ADB" w:rsidRDefault="00D33187">
            <w:pPr>
              <w:numPr>
                <w:ilvl w:val="0"/>
                <w:numId w:val="4"/>
              </w:numPr>
              <w:ind w:hanging="284"/>
            </w:pPr>
            <w:r>
              <w:rPr>
                <w:rFonts w:ascii="Arial" w:eastAsia="Arial" w:hAnsi="Arial" w:cs="Arial"/>
                <w:sz w:val="20"/>
              </w:rPr>
              <w:t xml:space="preserve">akty prawne </w:t>
            </w:r>
          </w:p>
        </w:tc>
      </w:tr>
      <w:tr w:rsidR="00634ADB">
        <w:trPr>
          <w:trHeight w:val="53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634ADB">
        <w:trPr>
          <w:trHeight w:val="5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spacing w:after="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34ADB" w:rsidRDefault="00D33187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DB" w:rsidRDefault="00D33187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Ćwiczenia – test wiedzy – zaliczenie na ocenę  </w:t>
            </w:r>
          </w:p>
        </w:tc>
      </w:tr>
    </w:tbl>
    <w:p w:rsidR="00634ADB" w:rsidRDefault="00D33187">
      <w:pPr>
        <w:spacing w:after="218"/>
        <w:ind w:left="1416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p w:rsidR="00634ADB" w:rsidRDefault="00D33187">
      <w:pPr>
        <w:spacing w:after="0"/>
        <w:ind w:left="1416"/>
        <w:jc w:val="both"/>
      </w:pPr>
      <w:r>
        <w:rPr>
          <w:rFonts w:ascii="Arial" w:eastAsia="Arial" w:hAnsi="Arial" w:cs="Arial"/>
          <w:sz w:val="20"/>
        </w:rPr>
        <w:t xml:space="preserve">  </w:t>
      </w:r>
    </w:p>
    <w:sectPr w:rsidR="00634ADB">
      <w:pgSz w:w="11906" w:h="16838"/>
      <w:pgMar w:top="1426" w:right="1113" w:bottom="150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D39"/>
    <w:multiLevelType w:val="hybridMultilevel"/>
    <w:tmpl w:val="BAE0CC8C"/>
    <w:lvl w:ilvl="0" w:tplc="B6D6E608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6053C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839FA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0DA14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782A0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682FEC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C12D4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AC9A68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05B58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E46BB"/>
    <w:multiLevelType w:val="hybridMultilevel"/>
    <w:tmpl w:val="7A1E391C"/>
    <w:lvl w:ilvl="0" w:tplc="4CE68D5A">
      <w:start w:val="1"/>
      <w:numFmt w:val="decimal"/>
      <w:lvlText w:val="%1.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ECDB20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86EA8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E4B354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C1CB6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6B752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8E868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20852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C4F8A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039FE"/>
    <w:multiLevelType w:val="hybridMultilevel"/>
    <w:tmpl w:val="2886094A"/>
    <w:lvl w:ilvl="0" w:tplc="C5FCF7DC">
      <w:start w:val="3"/>
      <w:numFmt w:val="decimal"/>
      <w:lvlText w:val="%1.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96B584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38A5C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21DDE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6C2BA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2A419C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8236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859F6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6D0BC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E06B85"/>
    <w:multiLevelType w:val="hybridMultilevel"/>
    <w:tmpl w:val="2AA6B08C"/>
    <w:lvl w:ilvl="0" w:tplc="79321868">
      <w:start w:val="1"/>
      <w:numFmt w:val="bullet"/>
      <w:lvlText w:val="•"/>
      <w:lvlJc w:val="left"/>
      <w:pPr>
        <w:ind w:left="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24D3A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14D438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6E974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63402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068B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A2B5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0213E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14D34A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DB"/>
    <w:rsid w:val="00634ADB"/>
    <w:rsid w:val="00CC2851"/>
    <w:rsid w:val="00D3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5992"/>
  <w15:docId w15:val="{68023AAD-E8EC-4353-92C4-EE55787F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4</cp:revision>
  <dcterms:created xsi:type="dcterms:W3CDTF">2026-05-25T06:42:00Z</dcterms:created>
  <dcterms:modified xsi:type="dcterms:W3CDTF">2026-05-25T12:03:00Z</dcterms:modified>
</cp:coreProperties>
</file>