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50" w:rsidRDefault="007F5F50">
      <w:pPr>
        <w:ind w:left="-1440" w:right="10466"/>
      </w:pPr>
    </w:p>
    <w:tbl>
      <w:tblPr>
        <w:tblStyle w:val="TableGrid"/>
        <w:tblW w:w="9426" w:type="dxa"/>
        <w:tblInd w:w="-15" w:type="dxa"/>
        <w:tblCellMar>
          <w:top w:w="45" w:type="dxa"/>
          <w:left w:w="6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911"/>
        <w:gridCol w:w="1277"/>
        <w:gridCol w:w="567"/>
        <w:gridCol w:w="1844"/>
        <w:gridCol w:w="990"/>
        <w:gridCol w:w="923"/>
        <w:gridCol w:w="1914"/>
      </w:tblGrid>
      <w:tr w:rsidR="007F5F50">
        <w:trPr>
          <w:trHeight w:val="466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F5F50" w:rsidRDefault="003818F2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7F5F50" w:rsidRDefault="003818F2">
            <w:pPr>
              <w:ind w:left="0" w:right="52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7F5F50">
        <w:trPr>
          <w:trHeight w:val="241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7F5F50">
        <w:trPr>
          <w:trHeight w:val="240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Przedmiot: Pragmatyka służbowa </w:t>
            </w:r>
          </w:p>
        </w:tc>
      </w:tr>
      <w:tr w:rsidR="007F5F50">
        <w:trPr>
          <w:trHeight w:val="240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7F5F50">
        <w:trPr>
          <w:trHeight w:val="238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7F5F50">
        <w:trPr>
          <w:trHeight w:val="314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515"/>
            </w:pPr>
            <w:r>
              <w:rPr>
                <w:b/>
                <w:i w:val="0"/>
              </w:rPr>
              <w:t>Liczba godzin 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43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43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7F5F50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>
            <w:pPr>
              <w:spacing w:after="160"/>
              <w:ind w:left="0"/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45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43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44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45"/>
              <w:jc w:val="center"/>
            </w:pPr>
            <w:r>
              <w:rPr>
                <w:i w:val="0"/>
              </w:rPr>
              <w:t xml:space="preserve">IV </w:t>
            </w:r>
          </w:p>
        </w:tc>
      </w:tr>
      <w:tr w:rsidR="007F5F50">
        <w:trPr>
          <w:trHeight w:val="46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Studia stacjonarne </w:t>
            </w: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  <w:strike/>
              </w:rPr>
              <w:t>ćw</w:t>
            </w:r>
            <w:proofErr w:type="spellEnd"/>
            <w:r>
              <w:rPr>
                <w:i w:val="0"/>
                <w:strike/>
              </w:rPr>
              <w:t>/lab/</w:t>
            </w:r>
            <w:proofErr w:type="spellStart"/>
            <w:r>
              <w:rPr>
                <w:i w:val="0"/>
                <w:strike/>
              </w:rPr>
              <w:t>pr</w:t>
            </w:r>
            <w:proofErr w:type="spellEnd"/>
            <w:r>
              <w:rPr>
                <w:i w:val="0"/>
                <w:strike/>
              </w:rPr>
              <w:t>/e)*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0" w:right="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0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7F5F50">
        <w:trPr>
          <w:trHeight w:val="47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Studia niestacjonarne </w:t>
            </w: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  <w:strike/>
              </w:rPr>
              <w:t>ćw</w:t>
            </w:r>
            <w:proofErr w:type="spellEnd"/>
            <w:r>
              <w:rPr>
                <w:i w:val="0"/>
                <w:strike/>
              </w:rPr>
              <w:t>/lab/</w:t>
            </w:r>
            <w:proofErr w:type="spellStart"/>
            <w:r>
              <w:rPr>
                <w:i w:val="0"/>
                <w:strike/>
              </w:rPr>
              <w:t>pr</w:t>
            </w:r>
            <w:proofErr w:type="spellEnd"/>
            <w:r>
              <w:rPr>
                <w:i w:val="0"/>
                <w:strike/>
              </w:rPr>
              <w:t>/e</w:t>
            </w:r>
            <w:r>
              <w:rPr>
                <w:i w:val="0"/>
              </w:rPr>
              <w:t xml:space="preserve">)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0" w:right="48"/>
              <w:jc w:val="center"/>
            </w:pPr>
            <w:r>
              <w:rPr>
                <w:i w:val="0"/>
              </w:rPr>
              <w:t xml:space="preserve">18 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0" w:right="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50" w:rsidRDefault="003818F2">
            <w:pPr>
              <w:ind w:left="0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7F5F50">
        <w:trPr>
          <w:trHeight w:val="69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JĘZYK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PROWADZENIA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ZAJĘĆ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Język polski </w:t>
            </w:r>
          </w:p>
        </w:tc>
      </w:tr>
      <w:tr w:rsidR="007F5F50">
        <w:trPr>
          <w:trHeight w:val="46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WYKŁADOWCA </w:t>
            </w:r>
          </w:p>
          <w:p w:rsidR="007F5F50" w:rsidRDefault="003818F2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>
            <w:pPr>
              <w:ind w:left="1"/>
            </w:pPr>
          </w:p>
        </w:tc>
      </w:tr>
      <w:tr w:rsidR="007F5F50">
        <w:trPr>
          <w:trHeight w:val="47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Ćwiczenia </w:t>
            </w:r>
          </w:p>
        </w:tc>
      </w:tr>
      <w:tr w:rsidR="007F5F50">
        <w:trPr>
          <w:trHeight w:val="1847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  <w:p w:rsidR="007F5F50" w:rsidRDefault="003818F2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 w:right="46"/>
              <w:jc w:val="both"/>
            </w:pPr>
            <w:r>
              <w:rPr>
                <w:i w:val="0"/>
              </w:rPr>
              <w:t>Celem przedmiotu jest zapoznanie studentów z pragmatyką funkcjonowania różnych służb mundurowych odpowiedzialnych za bezpieczeństwo państwa, ze wskazaniem ich podobieństw i różnic organizacyjnych. Przedmiot ma na celu przedstawienie zadań, struktur organiz</w:t>
            </w:r>
            <w:r>
              <w:rPr>
                <w:i w:val="0"/>
              </w:rPr>
              <w:t>acyjnych oraz zasad naboru i adaptacji zawodowej funkcjonariuszy. Istotnym celem jest również omówienie stosunku służbowego, systemu szkolenia, podstawowych obowiązków i uprawnień funkcjonariuszy oraz zasad ich odpowiedzialności. Ponadto przedmiot ma przyb</w:t>
            </w:r>
            <w:r>
              <w:rPr>
                <w:i w:val="0"/>
              </w:rPr>
              <w:t xml:space="preserve">liżyć możliwości rozwoju zawodowego w służbach mundurowych, kwestie ustania stosunku służbowego oraz sytuację prawną pracowników cywilnych zatrudnionych w tych formacjach. </w:t>
            </w:r>
          </w:p>
        </w:tc>
      </w:tr>
      <w:tr w:rsidR="007F5F50">
        <w:trPr>
          <w:trHeight w:val="296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53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44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44"/>
              <w:jc w:val="center"/>
            </w:pPr>
            <w:r>
              <w:rPr>
                <w:b/>
                <w:i w:val="0"/>
              </w:rPr>
              <w:t>Sposób weryfikacji e</w:t>
            </w:r>
            <w:r>
              <w:rPr>
                <w:b/>
                <w:i w:val="0"/>
              </w:rPr>
              <w:t xml:space="preserve">fektu </w:t>
            </w:r>
          </w:p>
        </w:tc>
      </w:tr>
      <w:tr w:rsidR="007F5F50">
        <w:trPr>
          <w:trHeight w:val="29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49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>
            <w:pPr>
              <w:spacing w:after="160"/>
              <w:ind w:left="0"/>
            </w:pPr>
          </w:p>
        </w:tc>
      </w:tr>
      <w:tr w:rsidR="007F5F50">
        <w:trPr>
          <w:trHeight w:val="296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47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7F5F50">
        <w:trPr>
          <w:trHeight w:val="93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i w:val="0"/>
              </w:rPr>
              <w:t xml:space="preserve">BN2_W03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P7U_W P7S_WG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W pogłębionym stopniu zna i definiuje problemy związane z zakresem przedmiotowym i podmiotowym pragmatyk służb mundurowych,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Test wiedzy </w:t>
            </w:r>
          </w:p>
        </w:tc>
      </w:tr>
      <w:tr w:rsidR="007F5F50">
        <w:trPr>
          <w:trHeight w:val="822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i w:val="0"/>
              </w:rPr>
              <w:t xml:space="preserve">BN_W05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Zna </w:t>
            </w:r>
            <w:r>
              <w:rPr>
                <w:i w:val="0"/>
              </w:rPr>
              <w:t xml:space="preserve">w pogłębionym stopniu ogólne zasady funkcjonowania służb bezpieczeństwa wewnętrznego i zewnętrznego państwa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>Test wiedzy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7F5F50">
        <w:trPr>
          <w:trHeight w:val="295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7F5F50">
        <w:trPr>
          <w:trHeight w:val="115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i w:val="0"/>
              </w:rPr>
              <w:t xml:space="preserve">BN2_U04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P7U_U P7S_UW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spacing w:after="2" w:line="240" w:lineRule="auto"/>
              <w:ind w:left="1" w:right="45"/>
              <w:jc w:val="both"/>
            </w:pPr>
            <w:r>
              <w:rPr>
                <w:i w:val="0"/>
              </w:rPr>
              <w:t xml:space="preserve">określa cechy charakterystyczne pragmatyk służb mundurowych i ocenia </w:t>
            </w:r>
            <w:r>
              <w:rPr>
                <w:i w:val="0"/>
              </w:rPr>
              <w:t xml:space="preserve">ich odmienność względem przepisów powszechnego </w:t>
            </w:r>
          </w:p>
          <w:p w:rsidR="007F5F50" w:rsidRDefault="003818F2">
            <w:pPr>
              <w:ind w:left="1"/>
            </w:pPr>
            <w:r>
              <w:rPr>
                <w:i w:val="0"/>
              </w:rPr>
              <w:t xml:space="preserve">ustawodawstwa pracy.,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Wykonywanie </w:t>
            </w:r>
            <w:r>
              <w:rPr>
                <w:i w:val="0"/>
              </w:rPr>
              <w:tab/>
              <w:t xml:space="preserve">krótkich </w:t>
            </w:r>
            <w:r>
              <w:rPr>
                <w:i w:val="0"/>
              </w:rPr>
              <w:t xml:space="preserve">zadań pisemnych </w:t>
            </w:r>
            <w:r>
              <w:rPr>
                <w:i w:val="0"/>
              </w:rPr>
              <w:t xml:space="preserve">wymagających identyfikacji </w:t>
            </w:r>
            <w:r>
              <w:rPr>
                <w:i w:val="0"/>
              </w:rPr>
              <w:t xml:space="preserve">podstaw </w:t>
            </w:r>
            <w:r>
              <w:rPr>
                <w:i w:val="0"/>
              </w:rPr>
              <w:t xml:space="preserve">prawnych, interpretacji przepisów oraz oceny ich znaczenia. </w:t>
            </w:r>
          </w:p>
        </w:tc>
      </w:tr>
      <w:tr w:rsidR="007F5F50">
        <w:trPr>
          <w:trHeight w:val="139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i w:val="0"/>
              </w:rPr>
              <w:lastRenderedPageBreak/>
              <w:t xml:space="preserve">BN_U02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>Student potrafi korzystać z kr</w:t>
            </w:r>
            <w:r>
              <w:rPr>
                <w:i w:val="0"/>
              </w:rPr>
              <w:t xml:space="preserve">ajowych i unijnych źródeł prawa oraz orzecznictwa, analizować ich treść i znaczenie, a także formułować na tej podstawie wnioski przydatne w organizacji działań z zakresu zarządzania kryzysowego.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 w:right="9"/>
            </w:pPr>
            <w:r>
              <w:rPr>
                <w:i w:val="0"/>
              </w:rPr>
              <w:t>Wykonywanie krótkich zadań pisemnych wymagających identyfik</w:t>
            </w:r>
            <w:r>
              <w:rPr>
                <w:i w:val="0"/>
              </w:rPr>
              <w:t>acji podstaw prawnych, interpretacji przepisów oraz oceny ich znaczenia.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7F5F50">
        <w:trPr>
          <w:trHeight w:val="296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50" w:rsidRDefault="003818F2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7F5F50">
        <w:trPr>
          <w:trHeight w:val="115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i w:val="0"/>
              </w:rPr>
              <w:t xml:space="preserve">BN_K06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P7U_K P7U_KR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spacing w:line="277" w:lineRule="auto"/>
              <w:ind w:left="1"/>
            </w:pPr>
            <w:r>
              <w:rPr>
                <w:i w:val="0"/>
              </w:rPr>
              <w:t xml:space="preserve">jest zorientowany na celowość odrębnych i odmiennych regulacji prawnych regulujących ustrój służb mundurowych, </w:t>
            </w:r>
          </w:p>
          <w:p w:rsidR="007F5F50" w:rsidRDefault="003818F2">
            <w:pPr>
              <w:ind w:left="1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 w:right="9"/>
            </w:pPr>
            <w:r>
              <w:rPr>
                <w:i w:val="0"/>
              </w:rPr>
              <w:t>W</w:t>
            </w:r>
            <w:r>
              <w:rPr>
                <w:i w:val="0"/>
              </w:rPr>
              <w:t>ykonywanie krótkich zadań pisemnych wymagających identyfikacji podstaw prawnych, interpretacji przepisów oraz oceny ich znaczenia.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7F5F50">
        <w:trPr>
          <w:trHeight w:val="51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i w:val="0"/>
              </w:rPr>
              <w:t xml:space="preserve">BN_K07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</w:pPr>
            <w:r>
              <w:rPr>
                <w:i w:val="0"/>
              </w:rPr>
              <w:t xml:space="preserve">P7U_K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  <w:jc w:val="both"/>
            </w:pPr>
            <w:r>
              <w:rPr>
                <w:i w:val="0"/>
              </w:rPr>
              <w:t xml:space="preserve">Student jest gotów do korzystania z wiedzy </w:t>
            </w:r>
            <w:r>
              <w:rPr>
                <w:i w:val="0"/>
              </w:rPr>
              <w:t xml:space="preserve">ekspertów oraz podejmowania decyzji z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1"/>
              <w:jc w:val="both"/>
            </w:pPr>
            <w:r>
              <w:rPr>
                <w:i w:val="0"/>
              </w:rPr>
              <w:t>Wykonywanie krótkich zadań</w:t>
            </w:r>
            <w:r>
              <w:rPr>
                <w:i w:val="0"/>
              </w:rPr>
              <w:t xml:space="preserve"> pisemnych wymagających </w:t>
            </w:r>
          </w:p>
        </w:tc>
      </w:tr>
    </w:tbl>
    <w:p w:rsidR="007F5F50" w:rsidRDefault="007F5F50">
      <w:pPr>
        <w:ind w:left="-1440" w:right="10466"/>
      </w:pPr>
    </w:p>
    <w:tbl>
      <w:tblPr>
        <w:tblStyle w:val="TableGrid"/>
        <w:tblW w:w="9429" w:type="dxa"/>
        <w:tblInd w:w="-16" w:type="dxa"/>
        <w:tblCellMar>
          <w:top w:w="5" w:type="dxa"/>
          <w:left w:w="7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913"/>
        <w:gridCol w:w="1277"/>
        <w:gridCol w:w="3401"/>
        <w:gridCol w:w="2838"/>
      </w:tblGrid>
      <w:tr w:rsidR="007F5F50">
        <w:trPr>
          <w:trHeight w:val="69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>
            <w:pPr>
              <w:spacing w:after="160"/>
              <w:ind w:left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  <w:jc w:val="both"/>
            </w:pPr>
            <w:r>
              <w:rPr>
                <w:i w:val="0"/>
              </w:rPr>
              <w:t xml:space="preserve">uwzględnieniem uwarunkowań prawnych i organizacyjnych sytuacji kryzysowej.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 w:right="46"/>
              <w:jc w:val="both"/>
            </w:pPr>
            <w:r>
              <w:rPr>
                <w:i w:val="0"/>
              </w:rPr>
              <w:t xml:space="preserve">identyfikacji podstaw prawnych, interpretacji przepisów oraz oceny ich znaczenia. </w:t>
            </w:r>
          </w:p>
        </w:tc>
      </w:tr>
      <w:tr w:rsidR="007F5F50">
        <w:trPr>
          <w:trHeight w:val="468"/>
        </w:trPr>
        <w:tc>
          <w:tcPr>
            <w:tcW w:w="9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Nakład pracy studenta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7F5F50">
        <w:trPr>
          <w:trHeight w:val="3461"/>
        </w:trPr>
        <w:tc>
          <w:tcPr>
            <w:tcW w:w="9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F2" w:rsidRPr="003818F2" w:rsidRDefault="003818F2" w:rsidP="003818F2">
            <w:pPr>
              <w:ind w:left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2922092</wp:posOffset>
                      </wp:positionH>
                      <wp:positionV relativeFrom="paragraph">
                        <wp:posOffset>-26655</wp:posOffset>
                      </wp:positionV>
                      <wp:extent cx="6096" cy="2191766"/>
                      <wp:effectExtent l="0" t="0" r="0" b="0"/>
                      <wp:wrapSquare wrapText="bothSides"/>
                      <wp:docPr id="9564" name="Group 9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91766"/>
                                <a:chOff x="0" y="0"/>
                                <a:chExt cx="6096" cy="2191766"/>
                              </a:xfrm>
                            </wpg:grpSpPr>
                            <wps:wsp>
                              <wps:cNvPr id="12246" name="Shape 12246"/>
                              <wps:cNvSpPr/>
                              <wps:spPr>
                                <a:xfrm>
                                  <a:off x="0" y="0"/>
                                  <a:ext cx="9144" cy="2191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176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1766"/>
                                      </a:lnTo>
                                      <a:lnTo>
                                        <a:pt x="0" y="21917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564" style="width:0.480011pt;height:172.58pt;position:absolute;mso-position-horizontal-relative:text;mso-position-horizontal:absolute;margin-left:230.086pt;mso-position-vertical-relative:text;margin-top:-2.09888pt;" coordsize="60,21917">
                      <v:shape id="Shape 12247" style="position:absolute;width:91;height:21917;left:0;top:0;" coordsize="9144,2191766" path="m0,0l9144,0l9144,2191766l0,219176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Stacjonarne                                                </w:t>
            </w:r>
            <w:r>
              <w:rPr>
                <w:b/>
                <w:i w:val="0"/>
              </w:rPr>
              <w:t xml:space="preserve">Niestacjonarne </w:t>
            </w:r>
            <w:r>
              <w:rPr>
                <w:i w:val="0"/>
              </w:rPr>
              <w:t xml:space="preserve">                                                                    </w:t>
            </w:r>
            <w:r>
              <w:rPr>
                <w:i w:val="0"/>
              </w:rPr>
              <w:t xml:space="preserve">udział w wykładach =                                      </w:t>
            </w:r>
            <w:r>
              <w:rPr>
                <w:i w:val="0"/>
              </w:rPr>
              <w:t xml:space="preserve">udział w wykładach =  </w:t>
            </w:r>
          </w:p>
          <w:p w:rsidR="003818F2" w:rsidRDefault="003818F2" w:rsidP="003818F2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                                  </w:t>
            </w:r>
            <w:r>
              <w:rPr>
                <w:i w:val="0"/>
              </w:rPr>
              <w:t xml:space="preserve">udział w ćwiczeniach = 18 h </w:t>
            </w:r>
          </w:p>
          <w:p w:rsidR="003818F2" w:rsidRDefault="003818F2" w:rsidP="003818F2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              </w:t>
            </w:r>
            <w:r>
              <w:rPr>
                <w:i w:val="0"/>
              </w:rPr>
              <w:t>przygotowanie do ćwiczeń = 28</w:t>
            </w:r>
            <w:r>
              <w:rPr>
                <w:i w:val="0"/>
              </w:rPr>
              <w:t xml:space="preserve"> h </w:t>
            </w:r>
          </w:p>
          <w:p w:rsidR="003818F2" w:rsidRDefault="003818F2" w:rsidP="003818F2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                 </w:t>
            </w:r>
            <w:r>
              <w:rPr>
                <w:i w:val="0"/>
              </w:rPr>
              <w:t xml:space="preserve">przygotowanie do wykładu =  </w:t>
            </w:r>
          </w:p>
          <w:p w:rsidR="007F5F50" w:rsidRDefault="003818F2" w:rsidP="003818F2">
            <w:pPr>
              <w:spacing w:after="1" w:line="258" w:lineRule="auto"/>
              <w:ind w:left="0"/>
            </w:pPr>
            <w:r>
              <w:rPr>
                <w:i w:val="0"/>
              </w:rPr>
              <w:t xml:space="preserve">przygotowanie do egzaminu =                </w:t>
            </w:r>
            <w:r>
              <w:rPr>
                <w:i w:val="0"/>
              </w:rPr>
              <w:t xml:space="preserve"> przygotowanie do egzaminu = 25 h </w:t>
            </w:r>
          </w:p>
          <w:p w:rsidR="007F5F50" w:rsidRDefault="003818F2" w:rsidP="003818F2">
            <w:pPr>
              <w:ind w:left="0"/>
            </w:pPr>
            <w:r>
              <w:rPr>
                <w:i w:val="0"/>
              </w:rPr>
              <w:t xml:space="preserve">realizacja zadań projektowych =                </w:t>
            </w:r>
            <w:r>
              <w:rPr>
                <w:i w:val="0"/>
              </w:rPr>
              <w:t xml:space="preserve">realizacja zadań projektowych = </w:t>
            </w:r>
          </w:p>
          <w:p w:rsidR="007F5F50" w:rsidRDefault="003818F2" w:rsidP="003818F2">
            <w:pPr>
              <w:ind w:left="0"/>
            </w:pPr>
            <w:r>
              <w:rPr>
                <w:i w:val="0"/>
              </w:rPr>
              <w:t xml:space="preserve">konsultacje=                                                  </w:t>
            </w:r>
            <w:r>
              <w:rPr>
                <w:i w:val="0"/>
              </w:rPr>
              <w:t xml:space="preserve">konsultacje= 2 h </w:t>
            </w:r>
          </w:p>
          <w:p w:rsidR="007F5F50" w:rsidRDefault="003818F2" w:rsidP="003818F2">
            <w:pPr>
              <w:ind w:left="0"/>
            </w:pPr>
            <w:r>
              <w:rPr>
                <w:i w:val="0"/>
              </w:rPr>
              <w:t xml:space="preserve">e-learning =                                                                               </w:t>
            </w:r>
            <w:r>
              <w:rPr>
                <w:i w:val="0"/>
              </w:rPr>
              <w:t xml:space="preserve">e-learning = </w:t>
            </w:r>
          </w:p>
          <w:p w:rsidR="007F5F50" w:rsidRDefault="003818F2" w:rsidP="003818F2">
            <w:pPr>
              <w:ind w:left="0"/>
            </w:pPr>
            <w:r>
              <w:rPr>
                <w:i w:val="0"/>
              </w:rPr>
              <w:t xml:space="preserve">zaliczenie/egzamin =                            </w:t>
            </w:r>
            <w:r>
              <w:rPr>
                <w:i w:val="0"/>
              </w:rPr>
              <w:t xml:space="preserve">zaliczenie/egzamin = 2 h </w:t>
            </w:r>
          </w:p>
          <w:p w:rsidR="007F5F50" w:rsidRDefault="003818F2" w:rsidP="003818F2">
            <w:pPr>
              <w:ind w:left="0"/>
            </w:pPr>
            <w:r>
              <w:rPr>
                <w:i w:val="0"/>
              </w:rPr>
              <w:t xml:space="preserve">inne  (określ jakie) =                                                          </w:t>
            </w:r>
            <w:r>
              <w:rPr>
                <w:i w:val="0"/>
              </w:rPr>
              <w:t xml:space="preserve">inne  (określ jakie) =  </w:t>
            </w:r>
          </w:p>
          <w:p w:rsidR="007F5F50" w:rsidRDefault="003818F2" w:rsidP="003818F2">
            <w:pPr>
              <w:ind w:left="0"/>
            </w:pPr>
            <w:r>
              <w:rPr>
                <w:b/>
                <w:i w:val="0"/>
              </w:rPr>
              <w:t xml:space="preserve">RAZEM:                                                               </w:t>
            </w:r>
            <w:r>
              <w:rPr>
                <w:b/>
                <w:i w:val="0"/>
              </w:rPr>
              <w:t xml:space="preserve">RAZEM: 75 </w:t>
            </w:r>
          </w:p>
          <w:p w:rsidR="007F5F50" w:rsidRDefault="003818F2" w:rsidP="003818F2">
            <w:pPr>
              <w:ind w:left="0"/>
            </w:pPr>
            <w:r>
              <w:rPr>
                <w:b/>
                <w:i w:val="0"/>
              </w:rPr>
              <w:t xml:space="preserve">Liczba punktów  ECTS:                                         </w:t>
            </w:r>
            <w:r>
              <w:rPr>
                <w:b/>
                <w:i w:val="0"/>
              </w:rPr>
              <w:t xml:space="preserve">Liczba punktów  ECTS: 3 </w:t>
            </w:r>
          </w:p>
          <w:p w:rsidR="007F5F50" w:rsidRDefault="003818F2" w:rsidP="003818F2">
            <w:pPr>
              <w:ind w:left="0"/>
            </w:pPr>
            <w:r>
              <w:rPr>
                <w:b/>
                <w:i w:val="0"/>
              </w:rPr>
              <w:t xml:space="preserve">w tym w ramach zajęć praktycznych:                 </w:t>
            </w:r>
            <w:bookmarkStart w:id="0" w:name="_GoBack"/>
            <w:bookmarkEnd w:id="0"/>
            <w:r>
              <w:rPr>
                <w:b/>
                <w:i w:val="0"/>
              </w:rPr>
              <w:t xml:space="preserve">w tym w ramach zajęć praktycznych: 3 </w:t>
            </w:r>
          </w:p>
        </w:tc>
      </w:tr>
      <w:tr w:rsidR="007F5F50">
        <w:trPr>
          <w:trHeight w:val="47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WARUNKI WSTĘPNE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</w:tr>
      <w:tr w:rsidR="007F5F50">
        <w:trPr>
          <w:trHeight w:val="439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  <w:jc w:val="both"/>
            </w:pPr>
            <w:r>
              <w:rPr>
                <w:b/>
                <w:i w:val="0"/>
              </w:rPr>
              <w:lastRenderedPageBreak/>
              <w:t xml:space="preserve">TREŚCI PRZEDMIOTU </w:t>
            </w:r>
          </w:p>
          <w:p w:rsidR="007F5F50" w:rsidRDefault="003818F2">
            <w:pPr>
              <w:spacing w:after="1" w:line="241" w:lineRule="auto"/>
              <w:ind w:left="0" w:right="60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spacing w:after="311"/>
              <w:ind w:left="0"/>
            </w:pPr>
            <w:r>
              <w:rPr>
                <w:i w:val="0"/>
              </w:rPr>
              <w:t xml:space="preserve">Realizowane w formie bezpośredniej: </w:t>
            </w:r>
          </w:p>
          <w:p w:rsidR="007F5F50" w:rsidRDefault="003818F2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i w:val="0"/>
              </w:rPr>
              <w:t xml:space="preserve">Pojęcie pragmatyki służbowej jako źródła prawa oraz miejsce służb mundurowych w systemie bezpieczeństwa i </w:t>
            </w:r>
            <w:r>
              <w:rPr>
                <w:i w:val="0"/>
              </w:rPr>
              <w:t xml:space="preserve">administracji publicznej. </w:t>
            </w:r>
          </w:p>
          <w:p w:rsidR="007F5F50" w:rsidRDefault="003818F2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i w:val="0"/>
              </w:rPr>
              <w:t xml:space="preserve">Zadania i struktura organizacyjna wybranych służb mundurowych oraz podstawy prawne ich działania. </w:t>
            </w:r>
          </w:p>
          <w:p w:rsidR="007F5F50" w:rsidRDefault="003818F2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i w:val="0"/>
              </w:rPr>
              <w:t xml:space="preserve">Kryteria naboru do służby, etapy postępowania kwalifikacyjnego oraz podstawowe dokumenty związane z przyjęciem do służby. </w:t>
            </w:r>
          </w:p>
          <w:p w:rsidR="007F5F50" w:rsidRDefault="003818F2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i w:val="0"/>
              </w:rPr>
              <w:t>Problem</w:t>
            </w:r>
            <w:r>
              <w:rPr>
                <w:i w:val="0"/>
              </w:rPr>
              <w:t xml:space="preserve">atyka stosunku służbowego funkcjonariuszy, właściwość przełożonych oraz rozpatrywanie sporów ze stosunku służbowego. </w:t>
            </w:r>
          </w:p>
          <w:p w:rsidR="007F5F50" w:rsidRDefault="003818F2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i w:val="0"/>
              </w:rPr>
              <w:t>System szkolenia funkcjonariuszy (szkolenie wstępne, zawodowe, specjalistyczne i doskonalenie zawodowe) oraz zasady podnoszenia kwalifikac</w:t>
            </w:r>
            <w:r>
              <w:rPr>
                <w:i w:val="0"/>
              </w:rPr>
              <w:t xml:space="preserve">ji. </w:t>
            </w:r>
          </w:p>
          <w:p w:rsidR="007F5F50" w:rsidRDefault="003818F2">
            <w:pPr>
              <w:numPr>
                <w:ilvl w:val="0"/>
                <w:numId w:val="1"/>
              </w:numPr>
              <w:ind w:hanging="360"/>
            </w:pPr>
            <w:r>
              <w:rPr>
                <w:i w:val="0"/>
              </w:rPr>
              <w:t xml:space="preserve">Podstawowe obowiązki funkcjonariuszy oraz konsekwencje ich naruszenia. </w:t>
            </w:r>
          </w:p>
          <w:p w:rsidR="007F5F50" w:rsidRDefault="003818F2">
            <w:pPr>
              <w:numPr>
                <w:ilvl w:val="0"/>
                <w:numId w:val="1"/>
              </w:numPr>
              <w:ind w:hanging="360"/>
            </w:pPr>
            <w:r>
              <w:rPr>
                <w:i w:val="0"/>
              </w:rPr>
              <w:t xml:space="preserve">Zasady odpowiedzialności dyscyplinarnej i majątkowej funkcjonariuszy. </w:t>
            </w:r>
          </w:p>
          <w:p w:rsidR="007F5F50" w:rsidRDefault="003818F2">
            <w:pPr>
              <w:numPr>
                <w:ilvl w:val="0"/>
                <w:numId w:val="1"/>
              </w:numPr>
              <w:spacing w:after="85" w:line="243" w:lineRule="auto"/>
              <w:ind w:hanging="360"/>
            </w:pPr>
            <w:r>
              <w:rPr>
                <w:i w:val="0"/>
              </w:rPr>
              <w:t>Wybrane uprawnienia funkcjonariuszy, w tym dotyczące awansów, świadczeń, urlopów i zabezpieczenia socjalnego</w:t>
            </w:r>
            <w:r>
              <w:rPr>
                <w:i w:val="0"/>
              </w:rPr>
              <w:t xml:space="preserve">. </w:t>
            </w:r>
          </w:p>
          <w:p w:rsidR="007F5F50" w:rsidRDefault="003818F2">
            <w:pPr>
              <w:numPr>
                <w:ilvl w:val="0"/>
                <w:numId w:val="1"/>
              </w:numPr>
              <w:ind w:hanging="360"/>
            </w:pPr>
            <w:r>
              <w:rPr>
                <w:i w:val="0"/>
              </w:rPr>
              <w:t>Specyfika zatrudnienia pracowników cywilnych w służbach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mundurowych.</w:t>
            </w:r>
            <w:r>
              <w:rPr>
                <w:i w:val="0"/>
              </w:rPr>
              <w:t xml:space="preserve"> </w:t>
            </w:r>
          </w:p>
        </w:tc>
      </w:tr>
      <w:tr w:rsidR="007F5F50">
        <w:trPr>
          <w:trHeight w:val="429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7F5F50" w:rsidRDefault="003818F2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numPr>
                <w:ilvl w:val="0"/>
                <w:numId w:val="2"/>
              </w:numPr>
              <w:spacing w:after="39" w:line="286" w:lineRule="auto"/>
              <w:ind w:hanging="360"/>
            </w:pPr>
            <w:hyperlink r:id="rId5">
              <w:r>
                <w:rPr>
                  <w:i w:val="0"/>
                </w:rPr>
                <w:t>Ustawa z dnia 11 września 2003 r. o służbie żołnierzy zawodowych</w:t>
              </w:r>
            </w:hyperlink>
            <w:hyperlink r:id="rId6">
              <w:r>
                <w:rPr>
                  <w:i w:val="0"/>
                </w:rPr>
                <w:t xml:space="preserve"> </w:t>
              </w:r>
            </w:hyperlink>
            <w:r>
              <w:rPr>
                <w:i w:val="0"/>
              </w:rPr>
              <w:t xml:space="preserve">(Dz. U. z 2010 r. Nr 90 poz. 593 23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33"/>
              <w:ind w:hanging="360"/>
            </w:pPr>
            <w:r>
              <w:rPr>
                <w:i w:val="0"/>
              </w:rPr>
              <w:t xml:space="preserve">ustawa z dnia 16 </w:t>
            </w:r>
            <w:r>
              <w:rPr>
                <w:i w:val="0"/>
              </w:rPr>
              <w:t xml:space="preserve">marca 2001 r. o Biurze Ochrony Rządu (Dz. U. Nr 27 poz. 298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40" w:line="285" w:lineRule="auto"/>
              <w:ind w:hanging="360"/>
            </w:pPr>
            <w:r>
              <w:rPr>
                <w:i w:val="0"/>
              </w:rPr>
              <w:t xml:space="preserve">ustawa z dnia 24 maja 2002 r. o Agencji Bezpieczeństwa Wewnętrznego oraz Agencji Wywiadu (Dz. U. 2002 nr 74 poz. 676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42" w:line="283" w:lineRule="auto"/>
              <w:ind w:hanging="360"/>
            </w:pPr>
            <w:r>
              <w:rPr>
                <w:i w:val="0"/>
              </w:rPr>
              <w:t xml:space="preserve">ustawa z dnia 9 czerwca 2006 r. o Służbie Kontrwywiadu Wojskowego oraz Służbie Wywiadu Wojskowego (Dz. U. Nr 104, poz. 709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38" w:line="285" w:lineRule="auto"/>
              <w:ind w:hanging="360"/>
            </w:pPr>
            <w:r>
              <w:rPr>
                <w:i w:val="0"/>
              </w:rPr>
              <w:t>ustawa z dnia 24 sierpnia 2001 r. o Żandarmerii Wojskowej i wojskowych organach porządkowych (Dz. U. Nr 123, poz. 135</w:t>
            </w:r>
            <w:r>
              <w:rPr>
                <w:i w:val="0"/>
              </w:rPr>
              <w:t xml:space="preserve">3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34"/>
              <w:ind w:hanging="360"/>
            </w:pPr>
            <w:r>
              <w:rPr>
                <w:i w:val="0"/>
              </w:rPr>
              <w:t xml:space="preserve">ustawa z dnia 6 kwietnia 1990 r. o Policji (Dz. U. Nr 30, poz. 179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41" w:line="284" w:lineRule="auto"/>
              <w:ind w:hanging="360"/>
            </w:pPr>
            <w:r>
              <w:rPr>
                <w:i w:val="0"/>
              </w:rPr>
              <w:t xml:space="preserve">ustawa z dnia 9 czerwca 2006 r. o Centralnym Biurze Antykorupcyjnym (Dz. U. Nr 104, poz. 708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39" w:line="285" w:lineRule="auto"/>
              <w:ind w:hanging="360"/>
            </w:pPr>
            <w:r>
              <w:rPr>
                <w:i w:val="0"/>
              </w:rPr>
              <w:t>ustawa z dnia 12 października 1990 r. o Straży</w:t>
            </w:r>
            <w:r>
              <w:rPr>
                <w:i w:val="0"/>
              </w:rPr>
              <w:t xml:space="preserve"> Granicznej (Dz. U. Nr 168, poz. 323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</w:t>
            </w:r>
          </w:p>
          <w:p w:rsidR="007F5F50" w:rsidRDefault="003818F2">
            <w:pPr>
              <w:numPr>
                <w:ilvl w:val="0"/>
                <w:numId w:val="2"/>
              </w:numPr>
              <w:spacing w:after="32"/>
              <w:ind w:hanging="360"/>
            </w:pPr>
            <w:r>
              <w:rPr>
                <w:i w:val="0"/>
              </w:rPr>
              <w:t xml:space="preserve">ustawa z dnia 27 sierpnia 2009 r. o Straży Celnej (Dz. U. Nr 168, poz. 323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  <w:p w:rsidR="007F5F50" w:rsidRDefault="003818F2">
            <w:pPr>
              <w:numPr>
                <w:ilvl w:val="0"/>
                <w:numId w:val="2"/>
              </w:numPr>
              <w:ind w:hanging="360"/>
            </w:pPr>
            <w:r>
              <w:rPr>
                <w:i w:val="0"/>
              </w:rPr>
              <w:t xml:space="preserve">ustawa z dnia 9 kwietnia 2010 r. o Służbie Więziennej (Dz. U. Nr 79 poz. 523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 </w:t>
            </w:r>
          </w:p>
        </w:tc>
      </w:tr>
    </w:tbl>
    <w:p w:rsidR="007F5F50" w:rsidRDefault="007F5F50">
      <w:pPr>
        <w:ind w:left="-1440" w:right="10466"/>
      </w:pPr>
    </w:p>
    <w:tbl>
      <w:tblPr>
        <w:tblStyle w:val="TableGrid"/>
        <w:tblW w:w="9429" w:type="dxa"/>
        <w:tblInd w:w="-16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7516"/>
      </w:tblGrid>
      <w:tr w:rsidR="007F5F50">
        <w:trPr>
          <w:trHeight w:val="369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>
            <w:pPr>
              <w:spacing w:after="160"/>
              <w:ind w:left="0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numPr>
                <w:ilvl w:val="0"/>
                <w:numId w:val="3"/>
              </w:numPr>
              <w:spacing w:after="39" w:line="285" w:lineRule="auto"/>
              <w:ind w:right="71" w:hanging="360"/>
              <w:jc w:val="both"/>
            </w:pPr>
            <w:r>
              <w:rPr>
                <w:i w:val="0"/>
              </w:rPr>
              <w:t xml:space="preserve">ustawa z dnia 6 września 2001 r. o transporcie drogowym (Dz. U. Nr 125, poz. 1371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</w:t>
            </w:r>
          </w:p>
          <w:p w:rsidR="007F5F50" w:rsidRDefault="003818F2">
            <w:pPr>
              <w:numPr>
                <w:ilvl w:val="0"/>
                <w:numId w:val="3"/>
              </w:numPr>
              <w:spacing w:after="11" w:line="283" w:lineRule="auto"/>
              <w:ind w:right="71" w:hanging="360"/>
              <w:jc w:val="both"/>
            </w:pPr>
            <w:r>
              <w:rPr>
                <w:i w:val="0"/>
              </w:rPr>
              <w:t xml:space="preserve">ustawa z dnia 29 sierpnia 1997 r. o strażach gminnych (Dz. U. Nr 123, poz. 779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zm.); </w:t>
            </w: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ustawa z dnia 7 maja 1999 r. o odpowiedzialności majątkowej funk</w:t>
            </w:r>
            <w:r>
              <w:rPr>
                <w:i w:val="0"/>
              </w:rPr>
              <w:t xml:space="preserve">cjonariuszy Policji, Straży Granicznej, Służby Celnej, Biura Ochrony Rządu, Państwowej Straży Pożarnej, Służby Więziennej, Agencji Bezpieczeństwa Wewnętrznego, Agencji Wywiadu, Służby </w:t>
            </w:r>
          </w:p>
          <w:p w:rsidR="007F5F50" w:rsidRDefault="003818F2">
            <w:pPr>
              <w:tabs>
                <w:tab w:val="center" w:pos="1298"/>
                <w:tab w:val="center" w:pos="4713"/>
              </w:tabs>
              <w:spacing w:after="23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</w:rPr>
              <w:t xml:space="preserve">Kontrwywiadu </w:t>
            </w:r>
            <w:r>
              <w:rPr>
                <w:i w:val="0"/>
              </w:rPr>
              <w:tab/>
              <w:t>Wojskowego, Służby Wywiadu Wojskowego i Centralnego Biur</w:t>
            </w:r>
            <w:r>
              <w:rPr>
                <w:i w:val="0"/>
              </w:rPr>
              <w:t xml:space="preserve">a </w:t>
            </w:r>
          </w:p>
          <w:p w:rsidR="007F5F50" w:rsidRDefault="003818F2">
            <w:pPr>
              <w:spacing w:after="65"/>
              <w:ind w:left="790"/>
            </w:pPr>
            <w:r>
              <w:rPr>
                <w:i w:val="0"/>
              </w:rPr>
              <w:t xml:space="preserve">Antykorupcyjnego (Dz. U. Nr 53, poz. 548, z późn.zm.);  </w:t>
            </w:r>
          </w:p>
          <w:p w:rsidR="007F5F50" w:rsidRDefault="003818F2">
            <w:pPr>
              <w:numPr>
                <w:ilvl w:val="0"/>
                <w:numId w:val="3"/>
              </w:numPr>
              <w:spacing w:line="279" w:lineRule="auto"/>
              <w:ind w:right="71" w:hanging="360"/>
              <w:jc w:val="both"/>
            </w:pPr>
            <w:r>
              <w:rPr>
                <w:i w:val="0"/>
              </w:rPr>
              <w:t xml:space="preserve">ustawa z dnia 18 lutego 1994 r. o zaopatrzeniu emerytalnym funkcjonariuszy Policji, Agencji </w:t>
            </w:r>
            <w:r>
              <w:rPr>
                <w:i w:val="0"/>
              </w:rPr>
              <w:t xml:space="preserve">Bezpieczeństwa Wewnętrznego, Agencji Wywiadu, Służby Kontrwywiadu Wojskowego, Służby Wywiadu Wojskowego, Centralnego Biura Antykorupcyjnego, Straży Granicznej, Biura Ochrony Rządu, Państwowej Straży Pożarnej i Służby Więziennej oraz ich rodzin (Dz. </w:t>
            </w:r>
          </w:p>
          <w:p w:rsidR="007F5F50" w:rsidRDefault="003818F2">
            <w:pPr>
              <w:spacing w:after="15"/>
              <w:ind w:left="790"/>
            </w:pPr>
            <w:r>
              <w:rPr>
                <w:i w:val="0"/>
              </w:rPr>
              <w:t>U. z 2</w:t>
            </w:r>
            <w:r>
              <w:rPr>
                <w:i w:val="0"/>
              </w:rPr>
              <w:t xml:space="preserve">004 r. Nr 8, poz. 67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 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– oraz odpowiednie przepisy szczególne wskazane przez wykładowcę. </w:t>
            </w:r>
          </w:p>
        </w:tc>
      </w:tr>
      <w:tr w:rsidR="007F5F50">
        <w:trPr>
          <w:trHeight w:val="265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LITERATURA  </w:t>
            </w:r>
          </w:p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UZUPEŁNIAJĄCA </w:t>
            </w:r>
          </w:p>
          <w:p w:rsidR="007F5F50" w:rsidRDefault="003818F2">
            <w:pPr>
              <w:ind w:left="70" w:right="52"/>
            </w:pPr>
            <w:r>
              <w:rPr>
                <w:i w:val="0"/>
              </w:rPr>
              <w:t xml:space="preserve">(w tym min. 2 pozycje      w języku angielskim; publikacje książkowe lub artykuły)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numPr>
                <w:ilvl w:val="0"/>
                <w:numId w:val="4"/>
              </w:numPr>
              <w:spacing w:after="32"/>
              <w:ind w:hanging="360"/>
            </w:pPr>
            <w:r>
              <w:rPr>
                <w:i w:val="0"/>
              </w:rPr>
              <w:t>J. Bogucka, T. Pietrzykowski, Etyka w ad</w:t>
            </w:r>
            <w:r>
              <w:rPr>
                <w:i w:val="0"/>
              </w:rPr>
              <w:t xml:space="preserve">ministracji publicznej, Warszawa 2011;  </w:t>
            </w:r>
          </w:p>
          <w:p w:rsidR="007F5F50" w:rsidRDefault="003818F2">
            <w:pPr>
              <w:numPr>
                <w:ilvl w:val="0"/>
                <w:numId w:val="4"/>
              </w:numPr>
              <w:spacing w:after="34"/>
              <w:ind w:hanging="360"/>
            </w:pPr>
            <w:hyperlink r:id="rId7">
              <w:r>
                <w:rPr>
                  <w:i w:val="0"/>
                </w:rPr>
                <w:t>J. Dobkowski, Pozycja prawnoustrojowa służb, inspekcji i straży</w:t>
              </w:r>
            </w:hyperlink>
            <w:hyperlink r:id="rId8">
              <w:r>
                <w:rPr>
                  <w:i w:val="0"/>
                </w:rPr>
                <w:t xml:space="preserve">, </w:t>
              </w:r>
            </w:hyperlink>
            <w:r>
              <w:rPr>
                <w:i w:val="0"/>
              </w:rPr>
              <w:t xml:space="preserve">Warszawa 2007;  </w:t>
            </w:r>
          </w:p>
          <w:p w:rsidR="007F5F50" w:rsidRDefault="003818F2">
            <w:pPr>
              <w:numPr>
                <w:ilvl w:val="0"/>
                <w:numId w:val="4"/>
              </w:numPr>
              <w:spacing w:after="41" w:line="284" w:lineRule="auto"/>
              <w:ind w:hanging="360"/>
            </w:pPr>
            <w:r>
              <w:rPr>
                <w:i w:val="0"/>
              </w:rPr>
              <w:t xml:space="preserve">J. </w:t>
            </w:r>
            <w:proofErr w:type="spellStart"/>
            <w:r>
              <w:rPr>
                <w:i w:val="0"/>
              </w:rPr>
              <w:t>Czaputowicz</w:t>
            </w:r>
            <w:proofErr w:type="spellEnd"/>
            <w:r>
              <w:rPr>
                <w:i w:val="0"/>
              </w:rPr>
              <w:t xml:space="preserve">, Etyka w służbie publicznej, [w:] Administracja publiczna, Wyzwania w dobie integracji europejskiej, (red. ) J. </w:t>
            </w:r>
            <w:proofErr w:type="spellStart"/>
            <w:r>
              <w:rPr>
                <w:i w:val="0"/>
              </w:rPr>
              <w:t>Czaputowicz</w:t>
            </w:r>
            <w:proofErr w:type="spellEnd"/>
            <w:r>
              <w:rPr>
                <w:i w:val="0"/>
              </w:rPr>
              <w:t xml:space="preserve">, Warszawa 2008;  </w:t>
            </w:r>
          </w:p>
          <w:p w:rsidR="007F5F50" w:rsidRDefault="003818F2">
            <w:pPr>
              <w:numPr>
                <w:ilvl w:val="0"/>
                <w:numId w:val="4"/>
              </w:numPr>
              <w:spacing w:after="43" w:line="281" w:lineRule="auto"/>
              <w:ind w:hanging="360"/>
            </w:pPr>
            <w:r>
              <w:rPr>
                <w:i w:val="0"/>
              </w:rPr>
              <w:t>M. Czechowski, Status szefa służby specjalnej oraz komendanta, szefa i dyrektora generalnego służby</w:t>
            </w:r>
            <w:r>
              <w:rPr>
                <w:i w:val="0"/>
              </w:rPr>
              <w:t xml:space="preserve"> umundurowanej, [w:] Księga Pamiątkowa w piąta rocznicę śmierci Profesora Andrzeja Kijowskiego, (red.) z. Niedbała, Warszawa 2010;  </w:t>
            </w:r>
          </w:p>
          <w:p w:rsidR="007F5F50" w:rsidRDefault="003818F2">
            <w:pPr>
              <w:numPr>
                <w:ilvl w:val="0"/>
                <w:numId w:val="4"/>
              </w:numPr>
              <w:spacing w:after="32"/>
              <w:ind w:hanging="360"/>
            </w:pPr>
            <w:hyperlink r:id="rId9">
              <w:r>
                <w:rPr>
                  <w:i w:val="0"/>
                </w:rPr>
                <w:t>J. Dobkowski, Pozycja prawnoustrojowa służb, inspekcji i straży</w:t>
              </w:r>
            </w:hyperlink>
            <w:hyperlink r:id="rId10">
              <w:r>
                <w:rPr>
                  <w:i w:val="0"/>
                </w:rPr>
                <w:t xml:space="preserve">, </w:t>
              </w:r>
            </w:hyperlink>
            <w:r>
              <w:rPr>
                <w:i w:val="0"/>
              </w:rPr>
              <w:t xml:space="preserve">Warszawa 2007;  </w:t>
            </w:r>
          </w:p>
          <w:p w:rsidR="007F5F50" w:rsidRDefault="003818F2">
            <w:pPr>
              <w:numPr>
                <w:ilvl w:val="0"/>
                <w:numId w:val="4"/>
              </w:numPr>
              <w:ind w:hanging="360"/>
            </w:pPr>
            <w:hyperlink r:id="rId11">
              <w:r>
                <w:rPr>
                  <w:i w:val="0"/>
                </w:rPr>
                <w:t>J. Dobkowski, Pozycja prawnoustrojowa służb, inspekcji i straży</w:t>
              </w:r>
            </w:hyperlink>
            <w:hyperlink r:id="rId12">
              <w:r>
                <w:rPr>
                  <w:i w:val="0"/>
                </w:rPr>
                <w:t xml:space="preserve">, </w:t>
              </w:r>
            </w:hyperlink>
            <w:r>
              <w:rPr>
                <w:i w:val="0"/>
              </w:rPr>
              <w:t xml:space="preserve">Warszawa 2007; 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 </w:t>
            </w:r>
          </w:p>
        </w:tc>
      </w:tr>
      <w:tr w:rsidR="007F5F50">
        <w:trPr>
          <w:trHeight w:val="138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PUBLIKACJE </w:t>
            </w:r>
          </w:p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NAUKOWE OSÓB </w:t>
            </w:r>
          </w:p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PROWADZĄCYCH </w:t>
            </w:r>
          </w:p>
          <w:p w:rsidR="007F5F50" w:rsidRDefault="003818F2">
            <w:pPr>
              <w:ind w:left="70"/>
              <w:jc w:val="both"/>
            </w:pPr>
            <w:r>
              <w:rPr>
                <w:b/>
                <w:i w:val="0"/>
              </w:rPr>
              <w:t xml:space="preserve">ZAJĘCIA ZWIĄZANE     </w:t>
            </w:r>
          </w:p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Z TEMATYKĄ </w:t>
            </w:r>
          </w:p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MODUŁU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6"/>
            </w:pPr>
            <w:r>
              <w:rPr>
                <w:i w:val="0"/>
              </w:rPr>
              <w:t xml:space="preserve">   </w:t>
            </w:r>
          </w:p>
          <w:p w:rsidR="007F5F50" w:rsidRDefault="003818F2">
            <w:pPr>
              <w:spacing w:after="211"/>
              <w:ind w:left="70"/>
            </w:pPr>
            <w:r>
              <w:rPr>
                <w:i w:val="0"/>
              </w:rPr>
              <w:t xml:space="preserve">Brak publikacji związanych z tematyką modułu.  </w:t>
            </w:r>
          </w:p>
          <w:p w:rsidR="007F5F50" w:rsidRDefault="003818F2">
            <w:pPr>
              <w:ind w:left="-6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7F5F50">
        <w:trPr>
          <w:trHeight w:val="115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"/>
              <w:jc w:val="both"/>
            </w:pPr>
            <w:r>
              <w:rPr>
                <w:b/>
                <w:i w:val="0"/>
              </w:rPr>
              <w:t xml:space="preserve">METODY NAUCZANIA </w:t>
            </w:r>
          </w:p>
          <w:p w:rsidR="007F5F50" w:rsidRDefault="003818F2">
            <w:pPr>
              <w:ind w:left="70" w:right="87"/>
            </w:pPr>
            <w:r>
              <w:rPr>
                <w:i w:val="0"/>
              </w:rPr>
              <w:t xml:space="preserve">(z podziałem na  zajęcia w formie bezpośredniej i              e-learning)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spacing w:line="241" w:lineRule="auto"/>
              <w:ind w:left="70" w:right="79"/>
              <w:jc w:val="both"/>
            </w:pPr>
            <w:r>
              <w:rPr>
                <w:i w:val="0"/>
              </w:rPr>
              <w:t xml:space="preserve">W formie bezpośredniej: analiza tekstów prawnych, analiza orzecznictwa, analiza przypadków, dyskusja dydaktyczna, rozwiązywanie problemów prawnych, praca indywidualna oraz praca zespołowa.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W formie e-learning: nie dotyczy </w:t>
            </w:r>
          </w:p>
        </w:tc>
      </w:tr>
      <w:tr w:rsidR="007F5F50">
        <w:trPr>
          <w:trHeight w:val="69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" w:right="73"/>
              <w:jc w:val="both"/>
            </w:pPr>
            <w:r>
              <w:rPr>
                <w:i w:val="0"/>
              </w:rPr>
              <w:t xml:space="preserve">akty prawne, </w:t>
            </w:r>
            <w:r>
              <w:rPr>
                <w:i w:val="0"/>
              </w:rPr>
              <w:t xml:space="preserve">orzecznictwo, komentarze prawnicze, literatura przedmiotu, prezentacje multimedialne, dostęp do publicznych baz prawa i orzecznictwa- (w szczególności ISAP, EUR-Lex, orzeczenia.ms.gov.pl). </w:t>
            </w:r>
          </w:p>
        </w:tc>
      </w:tr>
      <w:tr w:rsidR="007F5F50">
        <w:trPr>
          <w:trHeight w:val="69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"/>
            </w:pPr>
            <w:r>
              <w:rPr>
                <w:b/>
                <w:i w:val="0"/>
              </w:rPr>
              <w:lastRenderedPageBreak/>
              <w:t xml:space="preserve">PROJEKT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(o ile jest realizowany w ramach modułu zajęć)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spacing w:after="3" w:line="239" w:lineRule="auto"/>
              <w:ind w:left="70" w:right="4757"/>
            </w:pPr>
            <w:r>
              <w:rPr>
                <w:i w:val="0"/>
              </w:rPr>
              <w:t xml:space="preserve">Cel projektu:         Nie dotyczy Temat projektu:    Nie dotyczy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>Forma projektu:    Nie dotyczy</w:t>
            </w:r>
            <w:r>
              <w:rPr>
                <w:i w:val="0"/>
                <w:color w:val="FF0000"/>
              </w:rPr>
              <w:t xml:space="preserve"> </w:t>
            </w:r>
          </w:p>
        </w:tc>
      </w:tr>
      <w:tr w:rsidR="007F5F50">
        <w:trPr>
          <w:trHeight w:val="368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FORMA  I WARUNKI </w:t>
            </w:r>
          </w:p>
          <w:p w:rsidR="007F5F50" w:rsidRDefault="003818F2">
            <w:pPr>
              <w:ind w:left="70"/>
            </w:pPr>
            <w:r>
              <w:rPr>
                <w:b/>
                <w:i w:val="0"/>
              </w:rPr>
              <w:t xml:space="preserve">ZALICZENIA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(z podziałem na 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zajęcia w formie </w:t>
            </w:r>
          </w:p>
          <w:p w:rsidR="007F5F50" w:rsidRDefault="003818F2">
            <w:pPr>
              <w:ind w:left="70"/>
            </w:pPr>
            <w:r>
              <w:rPr>
                <w:i w:val="0"/>
              </w:rPr>
              <w:t xml:space="preserve">bezpośredniej i                e-learning)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3818F2">
            <w:pPr>
              <w:spacing w:after="1" w:line="240" w:lineRule="auto"/>
              <w:ind w:left="70" w:right="74"/>
              <w:jc w:val="both"/>
            </w:pPr>
            <w:r>
              <w:rPr>
                <w:i w:val="0"/>
              </w:rPr>
              <w:t>Egzamin w formie testu wiedzy na e-platformie A</w:t>
            </w:r>
            <w:r>
              <w:rPr>
                <w:i w:val="0"/>
              </w:rPr>
              <w:t xml:space="preserve">WSB, składający się z pytań wielokrotnego wyboru, eseju, dopasowania, krótkiej odpowiedzi, prawda/fałsz. Warunki zaliczenia zamieszczone na platformie </w:t>
            </w:r>
            <w:proofErr w:type="spellStart"/>
            <w:r>
              <w:rPr>
                <w:i w:val="0"/>
              </w:rPr>
              <w:t>Moodle</w:t>
            </w:r>
            <w:proofErr w:type="spellEnd"/>
            <w:r>
              <w:rPr>
                <w:i w:val="0"/>
              </w:rPr>
              <w:t xml:space="preserve">.  </w:t>
            </w:r>
          </w:p>
          <w:p w:rsidR="007F5F50" w:rsidRDefault="003818F2">
            <w:pPr>
              <w:spacing w:after="5" w:line="236" w:lineRule="auto"/>
              <w:ind w:left="-13" w:right="911" w:firstLine="83"/>
            </w:pPr>
            <w:r>
              <w:rPr>
                <w:i w:val="0"/>
              </w:rPr>
              <w:t xml:space="preserve">Egzamin w formie testu złożonego z 15 pytań. Czas na rozwiązanie testu-20 minut.   </w:t>
            </w:r>
            <w:r>
              <w:rPr>
                <w:i w:val="0"/>
                <w:color w:val="1A1A1A"/>
              </w:rPr>
              <w:t xml:space="preserve">Skala ocen: </w:t>
            </w:r>
          </w:p>
          <w:p w:rsidR="007F5F50" w:rsidRDefault="003818F2">
            <w:pPr>
              <w:ind w:left="84"/>
            </w:pPr>
            <w:r>
              <w:rPr>
                <w:i w:val="0"/>
                <w:color w:val="1A1A1A"/>
              </w:rPr>
              <w:t xml:space="preserve">90%-100%     (5.0) </w:t>
            </w:r>
          </w:p>
          <w:p w:rsidR="007F5F50" w:rsidRDefault="003818F2">
            <w:pPr>
              <w:ind w:left="84"/>
            </w:pPr>
            <w:r>
              <w:rPr>
                <w:i w:val="0"/>
                <w:color w:val="1A1A1A"/>
              </w:rPr>
              <w:t xml:space="preserve">79%-89%       (4,5) </w:t>
            </w:r>
          </w:p>
          <w:p w:rsidR="007F5F50" w:rsidRDefault="003818F2">
            <w:pPr>
              <w:ind w:left="84"/>
            </w:pPr>
            <w:r>
              <w:rPr>
                <w:i w:val="0"/>
                <w:color w:val="1A1A1A"/>
              </w:rPr>
              <w:t xml:space="preserve">68%-78%       (4.0) </w:t>
            </w:r>
          </w:p>
          <w:p w:rsidR="007F5F50" w:rsidRDefault="003818F2">
            <w:pPr>
              <w:ind w:left="84"/>
            </w:pPr>
            <w:r>
              <w:rPr>
                <w:i w:val="0"/>
                <w:color w:val="1A1A1A"/>
              </w:rPr>
              <w:t xml:space="preserve">56%-67%       (3.5) </w:t>
            </w:r>
          </w:p>
          <w:p w:rsidR="007F5F50" w:rsidRDefault="003818F2">
            <w:pPr>
              <w:ind w:left="84"/>
            </w:pPr>
            <w:r>
              <w:rPr>
                <w:i w:val="0"/>
                <w:color w:val="1A1A1A"/>
              </w:rPr>
              <w:t xml:space="preserve">50%-55%       (3.0) </w:t>
            </w:r>
          </w:p>
          <w:p w:rsidR="007F5F50" w:rsidRDefault="003818F2">
            <w:pPr>
              <w:ind w:left="84"/>
            </w:pPr>
            <w:r>
              <w:rPr>
                <w:i w:val="0"/>
                <w:color w:val="1A1A1A"/>
              </w:rPr>
              <w:t xml:space="preserve">0% - 49%       (2.0) </w:t>
            </w:r>
          </w:p>
          <w:p w:rsidR="007F5F50" w:rsidRDefault="003818F2">
            <w:pPr>
              <w:spacing w:after="5" w:line="239" w:lineRule="auto"/>
              <w:ind w:left="84"/>
            </w:pPr>
            <w:r>
              <w:rPr>
                <w:i w:val="0"/>
              </w:rPr>
              <w:t xml:space="preserve">Wykonywanie </w:t>
            </w:r>
            <w:r>
              <w:rPr>
                <w:i w:val="0"/>
              </w:rPr>
              <w:t>krótkich zadań pisemnych wymagających identyfikacji podstaw prawnych, interpretacji przepisów oraz oceny ich znaczenia.</w:t>
            </w:r>
            <w:r>
              <w:rPr>
                <w:i w:val="0"/>
                <w:color w:val="1A1A1A"/>
              </w:rPr>
              <w:t xml:space="preserve"> </w:t>
            </w:r>
          </w:p>
          <w:p w:rsidR="007F5F50" w:rsidRDefault="003818F2">
            <w:pPr>
              <w:ind w:left="70" w:right="76"/>
              <w:jc w:val="both"/>
            </w:pPr>
            <w:r>
              <w:rPr>
                <w:i w:val="0"/>
              </w:rPr>
              <w:t>Warunkiem zaliczenia przedmiotu jest zdobycie pozytywnej oceny ze wszystkich form zaliczenia przewidzianych w programie zajęć z uwzględ</w:t>
            </w:r>
            <w:r>
              <w:rPr>
                <w:i w:val="0"/>
              </w:rPr>
              <w:t xml:space="preserve">nieniem kryteriów ilościowych oceniania określonych w Ramowym Systemie Ocen Studentów w AWSB. </w:t>
            </w:r>
          </w:p>
        </w:tc>
      </w:tr>
    </w:tbl>
    <w:p w:rsidR="007F5F50" w:rsidRDefault="003818F2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 xml:space="preserve">- laboratorium, pro- projekt, e- e-learning </w:t>
      </w:r>
    </w:p>
    <w:p w:rsidR="007F5F50" w:rsidRDefault="003818F2">
      <w:pPr>
        <w:spacing w:after="19"/>
      </w:pPr>
      <w:r>
        <w:rPr>
          <w:i w:val="0"/>
        </w:rPr>
        <w:t xml:space="preserve"> </w:t>
      </w:r>
    </w:p>
    <w:p w:rsidR="007F5F50" w:rsidRDefault="003818F2"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sectPr w:rsidR="007F5F50">
      <w:pgSz w:w="11906" w:h="16838"/>
      <w:pgMar w:top="142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445D"/>
    <w:multiLevelType w:val="hybridMultilevel"/>
    <w:tmpl w:val="DBD2899A"/>
    <w:lvl w:ilvl="0" w:tplc="432090E0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3019B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4E47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8FE6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A2B92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FAA3A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A07A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6EF0D0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8A2E4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504D12"/>
    <w:multiLevelType w:val="hybridMultilevel"/>
    <w:tmpl w:val="E1FC347E"/>
    <w:lvl w:ilvl="0" w:tplc="16F05536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C6D19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408F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854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CE38C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689D7A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16A61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A003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0C25C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6F0556"/>
    <w:multiLevelType w:val="hybridMultilevel"/>
    <w:tmpl w:val="D22EE7A8"/>
    <w:lvl w:ilvl="0" w:tplc="C6AC586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437C8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EFCFC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42B0A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82AFC6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E211B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E404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ECE50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8AFB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2624A"/>
    <w:multiLevelType w:val="hybridMultilevel"/>
    <w:tmpl w:val="FE4C6F20"/>
    <w:lvl w:ilvl="0" w:tplc="A072BD1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90E9B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8938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AA388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EA525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8F2F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653A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6FE1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65E14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50"/>
    <w:rsid w:val="003818F2"/>
    <w:rsid w:val="007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D569"/>
  <w15:docId w15:val="{D5AA7B81-503B-4274-A611-13D4141F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1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iekonomia.pl/705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iekonomia.pl/7051.html" TargetMode="External"/><Relationship Id="rId12" Type="http://schemas.openxmlformats.org/officeDocument/2006/relationships/hyperlink" Target="http://www.prawoiekonomia.pl/70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legeo.pl/prawo/ustawa-z-dnia-11-wrzesnia-2003-r-o-sluzbie-wojskowej-zolnierzy-zawodowych/" TargetMode="External"/><Relationship Id="rId11" Type="http://schemas.openxmlformats.org/officeDocument/2006/relationships/hyperlink" Target="http://www.prawoiekonomia.pl/7051.html" TargetMode="External"/><Relationship Id="rId5" Type="http://schemas.openxmlformats.org/officeDocument/2006/relationships/hyperlink" Target="http://prawo.legeo.pl/prawo/ustawa-z-dnia-11-wrzesnia-2003-r-o-sluzbie-wojskowej-zolnierzy-zawodowych/" TargetMode="External"/><Relationship Id="rId10" Type="http://schemas.openxmlformats.org/officeDocument/2006/relationships/hyperlink" Target="http://www.prawoiekonomia.pl/70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iekonomia.pl/705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cp:lastModifiedBy>Justyna Nalepka</cp:lastModifiedBy>
  <cp:revision>2</cp:revision>
  <dcterms:created xsi:type="dcterms:W3CDTF">2026-05-25T10:13:00Z</dcterms:created>
  <dcterms:modified xsi:type="dcterms:W3CDTF">2026-05-25T10:13:00Z</dcterms:modified>
</cp:coreProperties>
</file>