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ECB" w:rsidRDefault="005E03F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496" w:type="dxa"/>
        <w:tblInd w:w="1283" w:type="dxa"/>
        <w:tblCellMar>
          <w:top w:w="74" w:type="dxa"/>
          <w:left w:w="66" w:type="dxa"/>
          <w:right w:w="23" w:type="dxa"/>
        </w:tblCellMar>
        <w:tblLook w:val="04A0" w:firstRow="1" w:lastRow="0" w:firstColumn="1" w:lastColumn="0" w:noHBand="0" w:noVBand="1"/>
      </w:tblPr>
      <w:tblGrid>
        <w:gridCol w:w="1600"/>
        <w:gridCol w:w="1746"/>
        <w:gridCol w:w="542"/>
        <w:gridCol w:w="1771"/>
        <w:gridCol w:w="1898"/>
        <w:gridCol w:w="1939"/>
      </w:tblGrid>
      <w:tr w:rsidR="00722ECB">
        <w:trPr>
          <w:trHeight w:val="514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722ECB" w:rsidRDefault="005E03FC">
            <w:pPr>
              <w:tabs>
                <w:tab w:val="center" w:pos="467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AKADEMIA WSB </w:t>
            </w:r>
          </w:p>
          <w:p w:rsidR="00722ECB" w:rsidRDefault="005E03FC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Wydział w Krakowie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22ECB">
        <w:trPr>
          <w:trHeight w:val="332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Kierunek studiów: Bezpieczeństwo narodowe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22ECB">
        <w:trPr>
          <w:trHeight w:val="329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Przedmiot: Szkolenie BHP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22ECB">
        <w:trPr>
          <w:trHeight w:val="331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Profil kształcenia: praktyczny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22ECB">
        <w:trPr>
          <w:trHeight w:val="329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Poziom kształcenia: studia II stopnia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22ECB" w:rsidTr="00AF1827">
        <w:trPr>
          <w:trHeight w:val="352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>Liczba godzin w semestrze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4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right="4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right="4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 </w:t>
            </w:r>
          </w:p>
        </w:tc>
      </w:tr>
      <w:tr w:rsidR="00722ECB" w:rsidTr="00AF1827">
        <w:trPr>
          <w:trHeight w:val="325"/>
        </w:trPr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722ECB"/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2ECB" w:rsidRDefault="005E03FC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right="4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 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righ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III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right="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IV  </w:t>
            </w:r>
          </w:p>
        </w:tc>
      </w:tr>
      <w:tr w:rsidR="00722ECB" w:rsidTr="00AF1827">
        <w:trPr>
          <w:trHeight w:val="59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sz w:val="20"/>
              </w:rPr>
              <w:t xml:space="preserve">Studia stacjonarne  </w:t>
            </w:r>
          </w:p>
          <w:p w:rsidR="00722ECB" w:rsidRDefault="005E03FC"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 </w:t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22ECB" w:rsidRDefault="005E03FC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CB" w:rsidRDefault="005E03FC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CB" w:rsidRDefault="005E03FC">
            <w:pPr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CB" w:rsidRDefault="005E03FC">
            <w:pPr>
              <w:ind w:left="9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722ECB" w:rsidTr="00AF1827">
        <w:trPr>
          <w:trHeight w:val="57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sz w:val="20"/>
              </w:rPr>
              <w:t xml:space="preserve">Studia niestacjonarne  </w:t>
            </w:r>
          </w:p>
          <w:p w:rsidR="00722ECB" w:rsidRDefault="005E03FC"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 </w:t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22ECB" w:rsidRDefault="005E03FC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4e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CB" w:rsidRDefault="005E03FC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CB" w:rsidRDefault="005E03FC">
            <w:pPr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CB" w:rsidRDefault="005E03FC">
            <w:pPr>
              <w:ind w:left="9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722ECB" w:rsidTr="00AF1827">
        <w:trPr>
          <w:trHeight w:val="596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WYKŁADOWCA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22ECB" w:rsidRDefault="005E03FC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722ECB">
            <w:pPr>
              <w:ind w:left="7"/>
            </w:pPr>
          </w:p>
        </w:tc>
      </w:tr>
      <w:tr w:rsidR="00722ECB" w:rsidTr="00AF1827">
        <w:trPr>
          <w:trHeight w:val="59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FORMA ZAJĘĆ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E-learning  </w:t>
            </w:r>
          </w:p>
        </w:tc>
      </w:tr>
      <w:tr w:rsidR="00722ECB" w:rsidTr="00AF1827">
        <w:trPr>
          <w:trHeight w:val="1388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CELE PRZEDMIOTU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22ECB" w:rsidRDefault="005E03FC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7" w:right="45"/>
              <w:jc w:val="both"/>
            </w:pPr>
            <w:r>
              <w:rPr>
                <w:rFonts w:ascii="Arial" w:eastAsia="Arial" w:hAnsi="Arial" w:cs="Arial"/>
                <w:sz w:val="20"/>
              </w:rPr>
              <w:t>Celem jest przekazanie studentom najistotniejszych informacji z zakresu BHP. Zapoznanie z istniejącym stanem prawnym ochrony pracy; z zasadami zachowania się w przypadku zagrożenia oraz uświadomienie obowiązków i praw pracownika i pracodawcy. Kształtowanie wśród studentów umiejętności analizy ich środowiska pracy a mający wpływ na poziom przestrzegania przez nich określonych warunków bezpieczeństwa i higieny pracy.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22ECB" w:rsidTr="00AF1827">
        <w:trPr>
          <w:trHeight w:val="369"/>
        </w:trPr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  <w:shd w:val="clear" w:color="auto" w:fill="D9D9D9"/>
          </w:tcPr>
          <w:p w:rsidR="00722ECB" w:rsidRDefault="005E03FC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Odniesienie do efektów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2ECB" w:rsidRDefault="005E03FC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Opis efektów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2ECB" w:rsidRDefault="005E03FC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Sposób weryfikacji efektu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22ECB" w:rsidTr="00AF1827">
        <w:trPr>
          <w:trHeight w:val="338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2ECB" w:rsidRDefault="005E03FC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Efekt kierunkowy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1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2ECB" w:rsidRDefault="005E03FC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PRK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722EC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722ECB"/>
        </w:tc>
      </w:tr>
      <w:tr w:rsidR="00722ECB">
        <w:trPr>
          <w:trHeight w:val="352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2ECB" w:rsidRDefault="005E03FC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WIEDZA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22ECB" w:rsidTr="00AF1827">
        <w:trPr>
          <w:trHeight w:val="86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sz w:val="20"/>
              </w:rPr>
              <w:t xml:space="preserve">BN2_W04 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P7S_WG  </w:t>
            </w:r>
          </w:p>
        </w:tc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posiada wiedzę z zakresu problematyki funkcjonowania człowieka w środowisku pracy i studiowania;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ocena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zadań wykonanych w trakcie wykładu;  </w:t>
            </w:r>
          </w:p>
        </w:tc>
      </w:tr>
      <w:tr w:rsidR="00722ECB" w:rsidTr="00AF1827">
        <w:trPr>
          <w:trHeight w:val="86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sz w:val="20"/>
              </w:rPr>
              <w:t xml:space="preserve">BN2_W10 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P7S_WK  </w:t>
            </w:r>
          </w:p>
        </w:tc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zna zagrożenia, jakie związane są z pobytem w miejscu pracy, w uczelni;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ocena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zadań wykonanych w trakcie wykładu;  </w:t>
            </w:r>
          </w:p>
        </w:tc>
      </w:tr>
      <w:tr w:rsidR="00722ECB" w:rsidTr="00AF1827">
        <w:trPr>
          <w:trHeight w:val="1406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sz w:val="20"/>
              </w:rPr>
              <w:t xml:space="preserve">BN2_W11 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</w:tcPr>
          <w:p w:rsidR="00722ECB" w:rsidRDefault="005E03FC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P7S_WK  </w:t>
            </w:r>
          </w:p>
        </w:tc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</w:tcPr>
          <w:p w:rsidR="00722ECB" w:rsidRDefault="005E03FC">
            <w:pPr>
              <w:ind w:left="4" w:right="17"/>
            </w:pPr>
            <w:r>
              <w:rPr>
                <w:rFonts w:ascii="Arial" w:eastAsia="Arial" w:hAnsi="Arial" w:cs="Arial"/>
                <w:sz w:val="20"/>
              </w:rPr>
              <w:t xml:space="preserve">zna akty normatywne z zakresu bezpieczeństwa i higieny pracy oraz ogólnie przyjęte zasady etyczne i moralne człowieka w środowisku pracy w celu wykorzystania ich dla rozwiązania problemów i zadań wynikających z obszaru bezpieczeństwa i obronności;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</w:tcPr>
          <w:p w:rsidR="00722ECB" w:rsidRDefault="005E03F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Ocena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zadań wykonanych w trakcie wykładu;  </w:t>
            </w:r>
          </w:p>
        </w:tc>
      </w:tr>
      <w:tr w:rsidR="00722ECB">
        <w:trPr>
          <w:trHeight w:val="333"/>
        </w:trPr>
        <w:tc>
          <w:tcPr>
            <w:tcW w:w="9496" w:type="dxa"/>
            <w:gridSpan w:val="6"/>
            <w:tcBorders>
              <w:top w:val="single" w:sz="1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2ECB" w:rsidRDefault="005E03FC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UMIEJĘTNOŚCI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22ECB" w:rsidTr="00AF1827">
        <w:trPr>
          <w:trHeight w:val="869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sz w:val="20"/>
              </w:rPr>
              <w:lastRenderedPageBreak/>
              <w:t xml:space="preserve">BN2_U02 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P7S_UW  </w:t>
            </w:r>
          </w:p>
        </w:tc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diagnozuje i prognozuje sytuacje zgodnie z istniejącym stanem prawnym ochrony pracy;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Ocena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zadań wykonanych w trakcie wykładu;  </w:t>
            </w:r>
          </w:p>
        </w:tc>
      </w:tr>
      <w:tr w:rsidR="00722ECB">
        <w:trPr>
          <w:trHeight w:val="348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2ECB" w:rsidRDefault="005E03FC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KOMPETENCJE SPOŁECZNE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22ECB" w:rsidTr="00AF1827">
        <w:trPr>
          <w:trHeight w:val="60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sz w:val="20"/>
              </w:rPr>
              <w:t xml:space="preserve">BN2_K02 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P7S_KO  </w:t>
            </w:r>
          </w:p>
        </w:tc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jest świadomy konieczności przestrzegania przepisów bhp zarówno w środowisku zawodowym i w uczelni;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ocena udziału studentów w dyskusji;  </w:t>
            </w:r>
          </w:p>
        </w:tc>
      </w:tr>
      <w:tr w:rsidR="00722ECB">
        <w:trPr>
          <w:trHeight w:val="492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dyd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.=45 minut)**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722ECB" w:rsidRDefault="00722ECB">
      <w:pPr>
        <w:spacing w:after="0"/>
        <w:ind w:right="22"/>
        <w:jc w:val="both"/>
      </w:pPr>
    </w:p>
    <w:tbl>
      <w:tblPr>
        <w:tblStyle w:val="TableGrid"/>
        <w:tblW w:w="9499" w:type="dxa"/>
        <w:tblInd w:w="1282" w:type="dxa"/>
        <w:tblCellMar>
          <w:top w:w="91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1982"/>
        <w:gridCol w:w="2697"/>
        <w:gridCol w:w="4820"/>
      </w:tblGrid>
      <w:tr w:rsidR="00722ECB">
        <w:trPr>
          <w:trHeight w:val="3269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27" w:rsidRDefault="005E03FC" w:rsidP="00AF1827">
            <w:pPr>
              <w:spacing w:after="1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Stacjonarne </w:t>
            </w:r>
          </w:p>
          <w:p w:rsidR="00AF1827" w:rsidRDefault="005E03FC" w:rsidP="00AF1827">
            <w:pPr>
              <w:spacing w:after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udział w</w:t>
            </w:r>
            <w:r w:rsidR="00AF1827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wykładach = </w:t>
            </w:r>
          </w:p>
          <w:p w:rsidR="00722ECB" w:rsidRDefault="005E03FC" w:rsidP="00AF1827">
            <w:pPr>
              <w:spacing w:after="1"/>
            </w:pPr>
            <w:r>
              <w:rPr>
                <w:rFonts w:ascii="Arial" w:eastAsia="Arial" w:hAnsi="Arial" w:cs="Arial"/>
                <w:sz w:val="20"/>
              </w:rPr>
              <w:t xml:space="preserve">udział w ćwiczeniach =  </w:t>
            </w:r>
          </w:p>
          <w:p w:rsidR="00722ECB" w:rsidRDefault="005E03FC" w:rsidP="00AF1827">
            <w:pPr>
              <w:spacing w:after="2" w:line="239" w:lineRule="auto"/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/ e-learningu =  przygotowanie do wykładu =  </w:t>
            </w:r>
          </w:p>
          <w:p w:rsidR="00AF1827" w:rsidRDefault="005E03FC" w:rsidP="00AF1827">
            <w:pPr>
              <w:spacing w:after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przygotowanie do</w:t>
            </w:r>
            <w:r w:rsidR="00AF1827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zaliczenia/egzaminu =  </w:t>
            </w:r>
          </w:p>
          <w:p w:rsidR="00AF1827" w:rsidRDefault="005E03FC" w:rsidP="00AF1827">
            <w:pPr>
              <w:spacing w:after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 </w:t>
            </w:r>
          </w:p>
          <w:p w:rsidR="00AF1827" w:rsidRDefault="005E03FC" w:rsidP="00AF1827">
            <w:pPr>
              <w:spacing w:after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 =  </w:t>
            </w:r>
          </w:p>
          <w:p w:rsidR="00AF1827" w:rsidRDefault="005E03FC" w:rsidP="00AF1827">
            <w:pPr>
              <w:spacing w:after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 </w:t>
            </w:r>
          </w:p>
          <w:p w:rsidR="00AF1827" w:rsidRDefault="005E03FC" w:rsidP="00AF1827">
            <w:pPr>
              <w:spacing w:after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zaliczenie/egzamin = </w:t>
            </w:r>
          </w:p>
          <w:p w:rsidR="00722ECB" w:rsidRDefault="005E03FC" w:rsidP="00AF1827">
            <w:pPr>
              <w:spacing w:after="1"/>
            </w:pPr>
            <w:r>
              <w:rPr>
                <w:rFonts w:ascii="Arial" w:eastAsia="Arial" w:hAnsi="Arial" w:cs="Arial"/>
                <w:sz w:val="20"/>
              </w:rPr>
              <w:t xml:space="preserve">inne  praca własna =  </w:t>
            </w:r>
          </w:p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RAZEM:  0 h </w:t>
            </w:r>
          </w:p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Liczba punktów  ECTS: 0 </w:t>
            </w:r>
          </w:p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w tym w ramach zajęć praktycznych: 0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27" w:rsidRDefault="005E03FC" w:rsidP="00AF1827">
            <w:pPr>
              <w:spacing w:after="1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Niestacjonarne </w:t>
            </w:r>
          </w:p>
          <w:p w:rsidR="00AF1827" w:rsidRDefault="005E03FC" w:rsidP="00AF1827">
            <w:pPr>
              <w:spacing w:after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722ECB" w:rsidRDefault="005E03FC" w:rsidP="00AF1827">
            <w:pPr>
              <w:spacing w:after="1"/>
            </w:pPr>
            <w:r>
              <w:rPr>
                <w:rFonts w:ascii="Arial" w:eastAsia="Arial" w:hAnsi="Arial" w:cs="Arial"/>
                <w:sz w:val="20"/>
              </w:rPr>
              <w:t xml:space="preserve">udział w ćwiczeniach =  </w:t>
            </w:r>
          </w:p>
          <w:p w:rsidR="00722ECB" w:rsidRDefault="005E03FC" w:rsidP="00AF1827">
            <w:pPr>
              <w:spacing w:after="2" w:line="239" w:lineRule="auto"/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/ e-learningu =  przygotowanie do wykładu =  </w:t>
            </w:r>
          </w:p>
          <w:p w:rsidR="00AF1827" w:rsidRDefault="005E03FC" w:rsidP="00AF1827">
            <w:pPr>
              <w:spacing w:after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zaliczenia/egzaminu = </w:t>
            </w:r>
          </w:p>
          <w:p w:rsidR="00AF1827" w:rsidRDefault="005E03FC" w:rsidP="00AF1827">
            <w:pPr>
              <w:spacing w:after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 </w:t>
            </w:r>
          </w:p>
          <w:p w:rsidR="00AF1827" w:rsidRDefault="005E03FC" w:rsidP="00AF1827">
            <w:pPr>
              <w:spacing w:after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 =  </w:t>
            </w:r>
          </w:p>
          <w:p w:rsidR="00AF1827" w:rsidRDefault="005E03FC" w:rsidP="00AF1827">
            <w:pPr>
              <w:spacing w:after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4h </w:t>
            </w:r>
          </w:p>
          <w:p w:rsidR="00722ECB" w:rsidRPr="00AF1827" w:rsidRDefault="005E03FC" w:rsidP="00AF1827">
            <w:pPr>
              <w:spacing w:after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zaliczenie/egzamin =  </w:t>
            </w:r>
          </w:p>
          <w:p w:rsidR="00722ECB" w:rsidRDefault="005E03FC" w:rsidP="00AF1827">
            <w:r>
              <w:rPr>
                <w:rFonts w:ascii="Arial" w:eastAsia="Arial" w:hAnsi="Arial" w:cs="Arial"/>
                <w:sz w:val="20"/>
              </w:rPr>
              <w:t xml:space="preserve">inne  praca własna = </w:t>
            </w:r>
          </w:p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RAZEM: 4 h </w:t>
            </w:r>
          </w:p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Liczba punktów  ECTS: 0 </w:t>
            </w:r>
          </w:p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w tym w ramach zajęć praktycznych: 0 </w:t>
            </w:r>
          </w:p>
        </w:tc>
      </w:tr>
      <w:tr w:rsidR="00722ECB">
        <w:trPr>
          <w:trHeight w:val="353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WARUNKI WSTĘPNE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Nie jest wymagane wstępne przygotowanie do realizacji przedmiotu;  </w:t>
            </w:r>
          </w:p>
        </w:tc>
      </w:tr>
      <w:tr w:rsidR="00722ECB">
        <w:trPr>
          <w:trHeight w:val="761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TREŚCI PRZEDMIOTU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bezpośredniej: nie dotyczy.   </w:t>
            </w:r>
            <w:bookmarkStart w:id="0" w:name="_GoBack"/>
            <w:bookmarkEnd w:id="0"/>
          </w:p>
          <w:p w:rsidR="00722ECB" w:rsidRDefault="005E03FC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722ECB" w:rsidRDefault="005E03FC">
            <w:pPr>
              <w:spacing w:after="80"/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e-learning: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5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Istota bezpieczeństwa i higieny pracy.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5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Prawna ochrona pracy.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8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Podstawowe przepisy dot. BHP. 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5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Materialne środowisko pracy: czynniki fizyczne, chemiczne, biologiczne.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5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Badania i pomiary czynników szkodliwych dla zdrowia. 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5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Barwy i znaki bezpieczeństwa. 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7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Choroby zawodowe. 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5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Ergonomia. 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4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Kobieta pracownik. 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8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Komisja BHP. 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6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Odzież i obuwie robocze oraz środki ochrony indywidualnej. Okoliczności i przyczyny wypadku. 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70" w:line="287" w:lineRule="auto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Ochrona pracowników przed ryzykiem narażenia na działanie ołowiu. Oświetlenie pomieszczeń pracy. 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5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Państwowa Inspekcja Pracy. 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8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Prace szczególnie niebezpieczne. 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8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Pracodawca – prawa i obowiązki. 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2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Pracownik – prawa i obowiązki. 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7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Ryzyko zawodowe. 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3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Służba BHP. 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7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Służba medycyny pracy. 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2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Społeczna inspekcja pracy. 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8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Wypadek przy pracy. 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5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Czynniki niebezpieczne w środowisku pracy i szkolnym  </w:t>
            </w:r>
          </w:p>
          <w:p w:rsidR="00722ECB" w:rsidRDefault="005E03FC">
            <w:pPr>
              <w:numPr>
                <w:ilvl w:val="0"/>
                <w:numId w:val="1"/>
              </w:numPr>
              <w:spacing w:after="58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Pierwsza pomoc.   </w:t>
            </w:r>
          </w:p>
          <w:p w:rsidR="00722ECB" w:rsidRDefault="005E03FC">
            <w:pPr>
              <w:numPr>
                <w:ilvl w:val="0"/>
                <w:numId w:val="1"/>
              </w:numPr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Postępowanie powypadkowe w zakładzie pracy.   </w:t>
            </w:r>
          </w:p>
        </w:tc>
      </w:tr>
      <w:tr w:rsidR="00722ECB">
        <w:trPr>
          <w:trHeight w:val="138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OBOWIĄZKOWA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numPr>
                <w:ilvl w:val="0"/>
                <w:numId w:val="2"/>
              </w:numPr>
              <w:spacing w:after="74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T. J. Karczewski, System zarządzania bezpieczeństwem pracy, Warszawa 2000.  </w:t>
            </w:r>
          </w:p>
          <w:p w:rsidR="00722ECB" w:rsidRDefault="005E03FC">
            <w:pPr>
              <w:numPr>
                <w:ilvl w:val="0"/>
                <w:numId w:val="2"/>
              </w:numPr>
              <w:spacing w:after="75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B.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Rączkowski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BHP w praktyce, ODDK, Warszawa 2012.  </w:t>
            </w:r>
          </w:p>
          <w:p w:rsidR="00722ECB" w:rsidRDefault="005E03FC">
            <w:pPr>
              <w:numPr>
                <w:ilvl w:val="0"/>
                <w:numId w:val="2"/>
              </w:numPr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M.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Gołębowski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P. Sobański, G. Wojtkowiak,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Employee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motivations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maintaining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occupational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health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safety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(OHS)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compliance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research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nine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construction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firms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in Poland, Global Management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Journal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nr 1, 2016.  </w:t>
            </w:r>
          </w:p>
        </w:tc>
      </w:tr>
      <w:tr w:rsidR="00722ECB">
        <w:trPr>
          <w:trHeight w:val="138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spacing w:after="38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>UZUPEŁNIAJĄCA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22ECB" w:rsidRDefault="005E03FC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numPr>
                <w:ilvl w:val="0"/>
                <w:numId w:val="3"/>
              </w:numPr>
              <w:spacing w:after="75"/>
              <w:ind w:left="366" w:hanging="36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B. Dołęgowski, S.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Janczała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Praktyczny poradnik dla służb BHP, ODDK, Warszawa 2008.  </w:t>
            </w:r>
          </w:p>
          <w:p w:rsidR="00722ECB" w:rsidRDefault="005E03FC">
            <w:pPr>
              <w:numPr>
                <w:ilvl w:val="0"/>
                <w:numId w:val="3"/>
              </w:numPr>
              <w:spacing w:after="70" w:line="279" w:lineRule="auto"/>
              <w:ind w:left="366" w:hanging="36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Õ. PAAS, K. REINHOLD, P. TINT, Learning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through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questioning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occupational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health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safety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Zeszyty Naukowe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Politechiki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Poznańskiej nr 67 , 2015.  </w:t>
            </w:r>
          </w:p>
          <w:p w:rsidR="00722ECB" w:rsidRDefault="005E03FC">
            <w:pPr>
              <w:numPr>
                <w:ilvl w:val="0"/>
                <w:numId w:val="3"/>
              </w:numPr>
              <w:ind w:left="366" w:hanging="36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Kompendium BHP tom 1 - poradnik dla służby bhp i pracodawców + płyta CD z wzorami dokumentów (e-book), 2020 /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ebookpoint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biblio.  </w:t>
            </w:r>
          </w:p>
        </w:tc>
      </w:tr>
      <w:tr w:rsidR="00722ECB">
        <w:trPr>
          <w:trHeight w:val="139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METODY NAUCZANIA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22ECB" w:rsidRDefault="005E03FC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W formie bezpośredniej: nie dotyczy.   </w:t>
            </w:r>
          </w:p>
          <w:p w:rsidR="00722ECB" w:rsidRDefault="005E03FC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722ECB" w:rsidRDefault="005E03FC">
            <w:pPr>
              <w:spacing w:after="77"/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W formie e-learning:  </w:t>
            </w:r>
          </w:p>
          <w:p w:rsidR="00722ECB" w:rsidRDefault="005E03FC">
            <w:pPr>
              <w:numPr>
                <w:ilvl w:val="0"/>
                <w:numId w:val="4"/>
              </w:numPr>
              <w:spacing w:after="55"/>
              <w:ind w:hanging="356"/>
            </w:pPr>
            <w:r>
              <w:rPr>
                <w:rFonts w:ascii="Arial" w:eastAsia="Arial" w:hAnsi="Arial" w:cs="Arial"/>
                <w:sz w:val="20"/>
              </w:rPr>
              <w:t xml:space="preserve">wykład audytoryjny;  </w:t>
            </w:r>
          </w:p>
          <w:p w:rsidR="00722ECB" w:rsidRDefault="005E03FC">
            <w:pPr>
              <w:numPr>
                <w:ilvl w:val="0"/>
                <w:numId w:val="4"/>
              </w:numPr>
              <w:ind w:hanging="356"/>
            </w:pPr>
            <w:r>
              <w:rPr>
                <w:rFonts w:ascii="Arial" w:eastAsia="Arial" w:hAnsi="Arial" w:cs="Arial"/>
                <w:sz w:val="20"/>
              </w:rPr>
              <w:t xml:space="preserve">instruktaż do zajęć  </w:t>
            </w:r>
          </w:p>
        </w:tc>
      </w:tr>
      <w:tr w:rsidR="00722ECB">
        <w:trPr>
          <w:trHeight w:val="35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r>
              <w:rPr>
                <w:rFonts w:ascii="Arial" w:eastAsia="Arial" w:hAnsi="Arial" w:cs="Arial"/>
                <w:b/>
                <w:sz w:val="20"/>
              </w:rPr>
              <w:t xml:space="preserve">POMOCE NAUKOWE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Prezentacja multimedialna,  teksty źródłowe, filmy dydaktyczne  </w:t>
            </w:r>
          </w:p>
        </w:tc>
      </w:tr>
      <w:tr w:rsidR="00722ECB">
        <w:trPr>
          <w:trHeight w:val="353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tabs>
                <w:tab w:val="center" w:pos="1416"/>
              </w:tabs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PROJEKT 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Nie dotyczy  </w:t>
            </w:r>
          </w:p>
        </w:tc>
      </w:tr>
      <w:tr w:rsidR="00722ECB">
        <w:trPr>
          <w:trHeight w:val="59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spacing w:after="56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 I WARUNKI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22ECB" w:rsidRDefault="005E03FC">
            <w:pPr>
              <w:tabs>
                <w:tab w:val="center" w:pos="1416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ZALICZENIA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CB" w:rsidRDefault="005E03FC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Zaliczenie na podstawie testu.  </w:t>
            </w:r>
          </w:p>
        </w:tc>
      </w:tr>
    </w:tbl>
    <w:p w:rsidR="00722ECB" w:rsidRDefault="005E03FC">
      <w:pPr>
        <w:spacing w:after="0"/>
        <w:ind w:left="1416"/>
        <w:jc w:val="both"/>
      </w:pPr>
      <w:r>
        <w:rPr>
          <w:rFonts w:ascii="Arial" w:eastAsia="Arial" w:hAnsi="Arial" w:cs="Arial"/>
          <w:sz w:val="20"/>
        </w:rPr>
        <w:t xml:space="preserve">  </w:t>
      </w:r>
    </w:p>
    <w:sectPr w:rsidR="00722ECB">
      <w:pgSz w:w="11906" w:h="16838"/>
      <w:pgMar w:top="1003" w:right="1104" w:bottom="1831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4467E"/>
    <w:multiLevelType w:val="hybridMultilevel"/>
    <w:tmpl w:val="1F14ABFC"/>
    <w:lvl w:ilvl="0" w:tplc="87A09874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68C9E">
      <w:start w:val="1"/>
      <w:numFmt w:val="bullet"/>
      <w:lvlText w:val="o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B212D8">
      <w:start w:val="1"/>
      <w:numFmt w:val="bullet"/>
      <w:lvlText w:val="▪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C40D38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582D0E">
      <w:start w:val="1"/>
      <w:numFmt w:val="bullet"/>
      <w:lvlText w:val="o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E4CB6E">
      <w:start w:val="1"/>
      <w:numFmt w:val="bullet"/>
      <w:lvlText w:val="▪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1653E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3ABC84">
      <w:start w:val="1"/>
      <w:numFmt w:val="bullet"/>
      <w:lvlText w:val="o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3E08D0">
      <w:start w:val="1"/>
      <w:numFmt w:val="bullet"/>
      <w:lvlText w:val="▪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D91298"/>
    <w:multiLevelType w:val="hybridMultilevel"/>
    <w:tmpl w:val="FB34BD7C"/>
    <w:lvl w:ilvl="0" w:tplc="BC28C320">
      <w:start w:val="1"/>
      <w:numFmt w:val="decimal"/>
      <w:lvlText w:val="%1.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2A974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EDAB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0134C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2493F2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2E824C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A62FDE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CC7198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DEEF44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6424AF"/>
    <w:multiLevelType w:val="hybridMultilevel"/>
    <w:tmpl w:val="FB242FF6"/>
    <w:lvl w:ilvl="0" w:tplc="6C6036A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5400D6">
      <w:start w:val="1"/>
      <w:numFmt w:val="bullet"/>
      <w:lvlText w:val="o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5A8DDC">
      <w:start w:val="1"/>
      <w:numFmt w:val="bullet"/>
      <w:lvlText w:val="▪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5C3E8E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FACF8E">
      <w:start w:val="1"/>
      <w:numFmt w:val="bullet"/>
      <w:lvlText w:val="o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3A5B8A">
      <w:start w:val="1"/>
      <w:numFmt w:val="bullet"/>
      <w:lvlText w:val="▪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0AB5B6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B4325A">
      <w:start w:val="1"/>
      <w:numFmt w:val="bullet"/>
      <w:lvlText w:val="o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C0F16A">
      <w:start w:val="1"/>
      <w:numFmt w:val="bullet"/>
      <w:lvlText w:val="▪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0965C2"/>
    <w:multiLevelType w:val="hybridMultilevel"/>
    <w:tmpl w:val="0F0EE914"/>
    <w:lvl w:ilvl="0" w:tplc="65B07E96">
      <w:start w:val="1"/>
      <w:numFmt w:val="decimal"/>
      <w:lvlText w:val="%1.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D84FF4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50CFF4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E655DE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38564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03A80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5C07B0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D40C6E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96B808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CB"/>
    <w:rsid w:val="005E03FC"/>
    <w:rsid w:val="00714507"/>
    <w:rsid w:val="00722ECB"/>
    <w:rsid w:val="00A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E592"/>
  <w15:docId w15:val="{6F111E45-C4D9-4071-A076-E008F0B3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2</cp:revision>
  <dcterms:created xsi:type="dcterms:W3CDTF">2026-05-25T10:03:00Z</dcterms:created>
  <dcterms:modified xsi:type="dcterms:W3CDTF">2026-05-25T10:03:00Z</dcterms:modified>
</cp:coreProperties>
</file>