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FF" w:rsidRDefault="002E1A2A">
      <w:pPr>
        <w:spacing w:after="0"/>
        <w:ind w:left="-144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96" w:type="dxa"/>
        <w:tblInd w:w="-157" w:type="dxa"/>
        <w:tblCellMar>
          <w:top w:w="74" w:type="dxa"/>
          <w:left w:w="66" w:type="dxa"/>
          <w:right w:w="35" w:type="dxa"/>
        </w:tblCellMar>
        <w:tblLook w:val="04A0" w:firstRow="1" w:lastRow="0" w:firstColumn="1" w:lastColumn="0" w:noHBand="0" w:noVBand="1"/>
      </w:tblPr>
      <w:tblGrid>
        <w:gridCol w:w="1952"/>
        <w:gridCol w:w="1666"/>
        <w:gridCol w:w="469"/>
        <w:gridCol w:w="1562"/>
        <w:gridCol w:w="1693"/>
        <w:gridCol w:w="2154"/>
      </w:tblGrid>
      <w:tr w:rsidR="008047FF">
        <w:trPr>
          <w:trHeight w:val="497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047FF" w:rsidRDefault="002E1A2A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</w:t>
            </w:r>
          </w:p>
          <w:p w:rsidR="008047FF" w:rsidRDefault="002E1A2A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Wydział w Krakowie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332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329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 xml:space="preserve">Przedmiot: Komunikacja w zespole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331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329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349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righ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righ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</w:tr>
      <w:tr w:rsidR="008047FF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8047FF"/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7FF" w:rsidRDefault="002E1A2A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right="2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righ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III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 </w:t>
            </w:r>
          </w:p>
        </w:tc>
      </w:tr>
      <w:tr w:rsidR="008047FF">
        <w:trPr>
          <w:trHeight w:val="61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Studia stacjonarne  </w:t>
            </w:r>
          </w:p>
          <w:p w:rsidR="008047FF" w:rsidRDefault="002E1A2A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47FF" w:rsidRDefault="002E1A2A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FF" w:rsidRDefault="002E1A2A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FF" w:rsidRDefault="002E1A2A">
            <w:pPr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FF" w:rsidRDefault="002E1A2A">
            <w:pPr>
              <w:ind w:left="10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8047FF">
        <w:trPr>
          <w:trHeight w:val="57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Studia niestacjonarne  </w:t>
            </w:r>
          </w:p>
          <w:p w:rsidR="008047FF" w:rsidRDefault="002E1A2A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47FF" w:rsidRDefault="002E1A2A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6ćw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FF" w:rsidRDefault="002E1A2A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FF" w:rsidRDefault="002E1A2A">
            <w:pPr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FF" w:rsidRDefault="002E1A2A">
            <w:pPr>
              <w:ind w:left="10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8047FF">
        <w:trPr>
          <w:trHeight w:val="59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 xml:space="preserve">WYKŁADOWCA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8047FF">
            <w:pPr>
              <w:ind w:left="6" w:right="4491" w:firstLine="103"/>
            </w:pPr>
          </w:p>
        </w:tc>
      </w:tr>
      <w:tr w:rsidR="008047FF">
        <w:trPr>
          <w:trHeight w:val="5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Ćwiczenia   </w:t>
            </w:r>
          </w:p>
        </w:tc>
      </w:tr>
      <w:tr w:rsidR="008047FF">
        <w:trPr>
          <w:trHeight w:val="405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8047FF" w:rsidRDefault="002E1A2A">
            <w:pPr>
              <w:spacing w:after="66" w:line="278" w:lineRule="auto"/>
              <w:ind w:left="6" w:right="167"/>
            </w:pPr>
            <w:r>
              <w:rPr>
                <w:rFonts w:ascii="Arial" w:eastAsia="Arial" w:hAnsi="Arial" w:cs="Arial"/>
                <w:sz w:val="20"/>
              </w:rPr>
              <w:t xml:space="preserve">Celem zajęć jest dostarczenie uczestnikom wiedzy i nabycia umiejętności z zakresu skutecznego komunikowania się w sytuacjach zawodowych, w których sprawna komunikacja jest narzędziem tworzenia i podtrzymywania relacji społecznych oraz współpracy między ludźmi. Znaczną część ćwiczeń zajmować będą aktywności tworzące pozytywny klimat sprzyjający komunikacji nastawionej na współpracę i budowaniu efektywnego zespołu.  Cele szczegółowe ćwiczeń to:  </w:t>
            </w:r>
          </w:p>
          <w:p w:rsidR="008047FF" w:rsidRDefault="002E1A2A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Zdobycie umiejętności wglądu i analizy własnych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zachowań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w komunikacji zespołowej  </w:t>
            </w:r>
          </w:p>
          <w:p w:rsidR="008047FF" w:rsidRDefault="002E1A2A">
            <w:pPr>
              <w:numPr>
                <w:ilvl w:val="0"/>
                <w:numId w:val="1"/>
              </w:numPr>
              <w:spacing w:after="41" w:line="286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Zapoznanie studentów z zasadami skutecznej komunikacji budującymi współpracę w zespole  </w:t>
            </w:r>
          </w:p>
          <w:p w:rsidR="008047FF" w:rsidRDefault="002E1A2A">
            <w:pPr>
              <w:numPr>
                <w:ilvl w:val="0"/>
                <w:numId w:val="1"/>
              </w:numPr>
              <w:spacing w:after="43" w:line="283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Rozwijanie umiejętności komunikacyjnych dla zwiększenia efektywności w komunikacji interpersonalnej i zadaniowej  </w:t>
            </w:r>
          </w:p>
          <w:p w:rsidR="008047FF" w:rsidRDefault="002E1A2A">
            <w:pPr>
              <w:numPr>
                <w:ilvl w:val="0"/>
                <w:numId w:val="1"/>
              </w:numPr>
              <w:spacing w:after="46" w:line="280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Poznanie zasad i udoskonalenie umiejętności w zakresie efektywnego komunikowania  się zorientowanego na budowanie „mostów komunikacyjnych” w każdej relacji i sytuacji zawodowej, a szczególnie konfliktowej  </w:t>
            </w:r>
          </w:p>
          <w:p w:rsidR="008047FF" w:rsidRDefault="002E1A2A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Radzenie sobie negatywnymi emocjami swoimi i innych  </w:t>
            </w:r>
          </w:p>
        </w:tc>
      </w:tr>
      <w:tr w:rsidR="008047FF">
        <w:trPr>
          <w:trHeight w:val="337"/>
        </w:trPr>
        <w:tc>
          <w:tcPr>
            <w:tcW w:w="3618" w:type="dxa"/>
            <w:gridSpan w:val="2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7FF" w:rsidRDefault="002E1A2A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23" w:type="dxa"/>
            <w:gridSpan w:val="3"/>
            <w:vMerge w:val="restart"/>
            <w:tcBorders>
              <w:top w:val="single" w:sz="18" w:space="0" w:color="D9D9D9"/>
              <w:left w:val="single" w:sz="4" w:space="0" w:color="000000"/>
              <w:bottom w:val="single" w:sz="18" w:space="0" w:color="D9D9D9"/>
              <w:right w:val="single" w:sz="4" w:space="0" w:color="000000"/>
            </w:tcBorders>
            <w:shd w:val="clear" w:color="auto" w:fill="D9D9D9"/>
          </w:tcPr>
          <w:p w:rsidR="008047FF" w:rsidRDefault="002E1A2A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54" w:type="dxa"/>
            <w:vMerge w:val="restart"/>
            <w:tcBorders>
              <w:top w:val="single" w:sz="18" w:space="0" w:color="D9D9D9"/>
              <w:left w:val="single" w:sz="4" w:space="0" w:color="000000"/>
              <w:bottom w:val="single" w:sz="18" w:space="0" w:color="D9D9D9"/>
              <w:right w:val="single" w:sz="4" w:space="0" w:color="000000"/>
            </w:tcBorders>
            <w:shd w:val="clear" w:color="auto" w:fill="D9D9D9"/>
          </w:tcPr>
          <w:p w:rsidR="008047FF" w:rsidRDefault="002E1A2A">
            <w:pPr>
              <w:ind w:left="21" w:righ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37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  <w:shd w:val="clear" w:color="auto" w:fill="D9D9D9"/>
          </w:tcPr>
          <w:p w:rsidR="008047FF" w:rsidRDefault="002E1A2A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  <w:shd w:val="clear" w:color="auto" w:fill="D9D9D9"/>
          </w:tcPr>
          <w:p w:rsidR="008047FF" w:rsidRDefault="002E1A2A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8047FF" w:rsidRDefault="008047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8047FF" w:rsidRDefault="008047FF"/>
        </w:tc>
      </w:tr>
      <w:tr w:rsidR="008047FF">
        <w:trPr>
          <w:trHeight w:val="335"/>
        </w:trPr>
        <w:tc>
          <w:tcPr>
            <w:tcW w:w="9496" w:type="dxa"/>
            <w:gridSpan w:val="6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7FF" w:rsidRDefault="002E1A2A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143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BN2_W01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P7S_WG 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1" w:right="42"/>
            </w:pPr>
            <w:r>
              <w:rPr>
                <w:rFonts w:ascii="Arial" w:eastAsia="Arial" w:hAnsi="Arial" w:cs="Arial"/>
                <w:sz w:val="20"/>
              </w:rPr>
              <w:t xml:space="preserve">zna metody i narzędzia stosowane w komunikacji zespołowej, wspomagające procesy podejmowania decyzji w warunkach ryzyka i niepewności, decyzje grupowe, decyzje </w:t>
            </w:r>
            <w:r>
              <w:rPr>
                <w:rFonts w:ascii="Arial" w:eastAsia="Arial" w:hAnsi="Arial" w:cs="Arial"/>
                <w:sz w:val="20"/>
              </w:rPr>
              <w:lastRenderedPageBreak/>
              <w:t xml:space="preserve">wieloaspektowe w zakresie komunikacji interpersonalnej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realizacja zadań  w trakcie zajęć; </w:t>
            </w:r>
          </w:p>
        </w:tc>
      </w:tr>
      <w:tr w:rsidR="008047FF">
        <w:trPr>
          <w:trHeight w:val="344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047FF" w:rsidRDefault="002E1A2A">
            <w:pPr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1560"/>
        </w:trPr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BN2_U10  </w:t>
            </w:r>
          </w:p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P7S_UO  </w:t>
            </w:r>
          </w:p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7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spacing w:after="1"/>
              <w:ind w:left="1" w:right="24"/>
            </w:pPr>
            <w:r>
              <w:rPr>
                <w:rFonts w:ascii="Arial" w:eastAsia="Arial" w:hAnsi="Arial" w:cs="Arial"/>
                <w:sz w:val="20"/>
              </w:rPr>
              <w:t xml:space="preserve">potrafi kierować pracą zespołu posługując  się normami  i standardami w procesach planowania, organizowania, motywowania i </w:t>
            </w:r>
          </w:p>
          <w:p w:rsidR="008047FF" w:rsidRDefault="002E1A2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kontroli na poziomie zintegrowanym,   </w:t>
            </w:r>
          </w:p>
          <w:p w:rsidR="008047FF" w:rsidRDefault="002E1A2A">
            <w:pPr>
              <w:ind w:left="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ze szczególnym uwzględnieniem metod i skutecznych narzędzi komunikacji zespołowej  </w:t>
            </w: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4" w:right="13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realizacja zadań  w trakcie zajęć;  </w:t>
            </w:r>
          </w:p>
        </w:tc>
      </w:tr>
    </w:tbl>
    <w:p w:rsidR="008047FF" w:rsidRDefault="008047FF">
      <w:pPr>
        <w:spacing w:after="0"/>
        <w:ind w:left="-1440" w:right="10466"/>
      </w:pPr>
    </w:p>
    <w:tbl>
      <w:tblPr>
        <w:tblStyle w:val="TableGrid"/>
        <w:tblW w:w="9498" w:type="dxa"/>
        <w:tblInd w:w="-157" w:type="dxa"/>
        <w:tblCellMar>
          <w:top w:w="47" w:type="dxa"/>
          <w:left w:w="4" w:type="dxa"/>
        </w:tblCellMar>
        <w:tblLook w:val="04A0" w:firstRow="1" w:lastRow="0" w:firstColumn="1" w:lastColumn="0" w:noHBand="0" w:noVBand="1"/>
      </w:tblPr>
      <w:tblGrid>
        <w:gridCol w:w="1952"/>
        <w:gridCol w:w="725"/>
        <w:gridCol w:w="941"/>
        <w:gridCol w:w="1297"/>
        <w:gridCol w:w="2426"/>
        <w:gridCol w:w="2157"/>
      </w:tblGrid>
      <w:tr w:rsidR="008047FF">
        <w:trPr>
          <w:trHeight w:val="111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11" w:space="0" w:color="D9D9D9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BN2_U13  </w:t>
            </w:r>
          </w:p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D9D9D9"/>
              <w:right w:val="single" w:sz="4" w:space="0" w:color="000000"/>
            </w:tcBorders>
          </w:tcPr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P7S_UO  </w:t>
            </w:r>
          </w:p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D9D9D9"/>
              <w:right w:val="single" w:sz="4" w:space="0" w:color="000000"/>
            </w:tcBorders>
          </w:tcPr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potrafi współpracować z innymi osobami w realizacji zadań i prac zespołowych, przyjmować rolę przywódczą wyznaczając cele z zakresu bezpieczeństwa i sposoby ich osiągania;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11" w:space="0" w:color="D9D9D9"/>
              <w:right w:val="single" w:sz="4" w:space="0" w:color="000000"/>
            </w:tcBorders>
          </w:tcPr>
          <w:p w:rsidR="008047FF" w:rsidRDefault="002E1A2A">
            <w:pPr>
              <w:ind w:left="6" w:right="22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realizacja zadań  w trakcie zajęć;  </w:t>
            </w:r>
          </w:p>
        </w:tc>
      </w:tr>
      <w:tr w:rsidR="008047FF">
        <w:trPr>
          <w:trHeight w:val="319"/>
        </w:trPr>
        <w:tc>
          <w:tcPr>
            <w:tcW w:w="9498" w:type="dxa"/>
            <w:gridSpan w:val="6"/>
            <w:tcBorders>
              <w:top w:val="single" w:sz="11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7FF" w:rsidRDefault="002E1A2A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141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BN2_K01 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P7S_KK  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6" w:right="3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jest gotów do krytycznej oceny swojej wiedzy i jej  i doskonalenia krytycznej oceny różnych opinii z zakresu komunikacji w zespole, uznawania roli wiedzy  w  rozwiązywaniu problemów poznawczych oraz rolę komunikacji w pracy zespołowej 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obserwacja studentów podczas zajęć;  </w:t>
            </w:r>
          </w:p>
        </w:tc>
      </w:tr>
      <w:tr w:rsidR="008047FF">
        <w:trPr>
          <w:trHeight w:val="141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BN2_K06  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P7S_KR  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uwzględniając aspekty komunikacji interpersonalnej, jest gotów do przestrzegania i propagowania etycznej postawy i wrażliwości społecznej w ramach wyznaczonych ról organizacyjnych i społecznych uwzględniając zmieniające się potrzeby społeczne  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obserwacja studentów podczas zajęć;  </w:t>
            </w:r>
          </w:p>
        </w:tc>
      </w:tr>
      <w:tr w:rsidR="008047FF">
        <w:trPr>
          <w:trHeight w:val="473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3250"/>
        </w:trPr>
        <w:tc>
          <w:tcPr>
            <w:tcW w:w="4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5E" w:rsidRDefault="002E1A2A" w:rsidP="0078545E">
            <w:pPr>
              <w:spacing w:after="1" w:line="241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 </w:t>
            </w:r>
          </w:p>
          <w:p w:rsidR="0078545E" w:rsidRDefault="002E1A2A" w:rsidP="0078545E">
            <w:pPr>
              <w:spacing w:after="1" w:line="24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 </w:t>
            </w:r>
          </w:p>
          <w:p w:rsidR="0078545E" w:rsidRDefault="002E1A2A" w:rsidP="0078545E">
            <w:pPr>
              <w:spacing w:after="1" w:line="24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 </w:t>
            </w:r>
          </w:p>
          <w:p w:rsidR="0078545E" w:rsidRDefault="002E1A2A" w:rsidP="0078545E">
            <w:pPr>
              <w:spacing w:after="1" w:line="24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</w:p>
          <w:p w:rsidR="0078545E" w:rsidRDefault="002E1A2A" w:rsidP="0078545E">
            <w:pPr>
              <w:spacing w:after="1" w:line="24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 </w:t>
            </w:r>
          </w:p>
          <w:p w:rsidR="008047FF" w:rsidRDefault="002E1A2A" w:rsidP="0078545E">
            <w:pPr>
              <w:spacing w:after="1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przygotowanie do zaliczenia/egzaminu realizacja zadań projektowych =  </w:t>
            </w:r>
          </w:p>
          <w:p w:rsidR="0078545E" w:rsidRDefault="002E1A2A" w:rsidP="0078545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 </w:t>
            </w:r>
          </w:p>
          <w:p w:rsidR="0078545E" w:rsidRDefault="002E1A2A" w:rsidP="0078545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  </w:t>
            </w:r>
          </w:p>
          <w:p w:rsidR="008047FF" w:rsidRDefault="002E1A2A" w:rsidP="0078545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inne  (konsultacje) =   </w:t>
            </w:r>
          </w:p>
          <w:p w:rsidR="008047FF" w:rsidRDefault="002E1A2A" w:rsidP="0078545E">
            <w:r>
              <w:rPr>
                <w:rFonts w:ascii="Arial" w:eastAsia="Arial" w:hAnsi="Arial" w:cs="Arial"/>
                <w:b/>
                <w:sz w:val="20"/>
              </w:rPr>
              <w:t xml:space="preserve">RAZEM:  </w:t>
            </w:r>
          </w:p>
          <w:p w:rsidR="008047FF" w:rsidRDefault="002E1A2A" w:rsidP="0078545E">
            <w:r>
              <w:rPr>
                <w:rFonts w:ascii="Arial" w:eastAsia="Arial" w:hAnsi="Arial" w:cs="Arial"/>
                <w:b/>
                <w:sz w:val="20"/>
              </w:rPr>
              <w:t xml:space="preserve">Liczba punktów  ECTS:   </w:t>
            </w:r>
          </w:p>
          <w:p w:rsidR="008047FF" w:rsidRDefault="002E1A2A" w:rsidP="0078545E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w tym w ramach zajęć kształtujących umiejętności praktyczne</w:t>
            </w:r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5E" w:rsidRDefault="002E1A2A" w:rsidP="0078545E">
            <w:pPr>
              <w:spacing w:line="241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</w:t>
            </w:r>
          </w:p>
          <w:p w:rsidR="0078545E" w:rsidRDefault="002E1A2A" w:rsidP="0078545E">
            <w:pPr>
              <w:spacing w:line="24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 </w:t>
            </w:r>
          </w:p>
          <w:p w:rsidR="0078545E" w:rsidRDefault="002E1A2A" w:rsidP="0078545E">
            <w:pPr>
              <w:spacing w:line="24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6  </w:t>
            </w:r>
          </w:p>
          <w:p w:rsidR="0078545E" w:rsidRDefault="002E1A2A" w:rsidP="0078545E">
            <w:pPr>
              <w:spacing w:line="24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=2,5  </w:t>
            </w:r>
          </w:p>
          <w:p w:rsidR="008047FF" w:rsidRDefault="002E1A2A" w:rsidP="0078545E">
            <w:p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 </w:t>
            </w:r>
          </w:p>
          <w:p w:rsidR="008047FF" w:rsidRDefault="002E1A2A" w:rsidP="0078545E">
            <w:p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przygotowanie do zaliczenia/ egzaminu = 2  realizacja zadań projektowych=  </w:t>
            </w:r>
          </w:p>
          <w:p w:rsidR="0078545E" w:rsidRDefault="002E1A2A" w:rsidP="0078545E">
            <w:pPr>
              <w:spacing w:after="2" w:line="23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 </w:t>
            </w:r>
          </w:p>
          <w:p w:rsidR="008047FF" w:rsidRDefault="002E1A2A" w:rsidP="0078545E">
            <w:pPr>
              <w:spacing w:after="2" w:line="239" w:lineRule="auto"/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zaliczenie/egzamin = 2  </w:t>
            </w:r>
          </w:p>
          <w:p w:rsidR="008047FF" w:rsidRDefault="002E1A2A" w:rsidP="0078545E">
            <w:r>
              <w:rPr>
                <w:rFonts w:ascii="Arial" w:eastAsia="Arial" w:hAnsi="Arial" w:cs="Arial"/>
                <w:sz w:val="20"/>
              </w:rPr>
              <w:t xml:space="preserve">inne  (konsultacje) =   </w:t>
            </w:r>
          </w:p>
          <w:p w:rsidR="008047FF" w:rsidRDefault="002E1A2A" w:rsidP="0078545E">
            <w:r>
              <w:rPr>
                <w:rFonts w:ascii="Arial" w:eastAsia="Arial" w:hAnsi="Arial" w:cs="Arial"/>
                <w:b/>
                <w:sz w:val="20"/>
              </w:rPr>
              <w:t xml:space="preserve">RAZEM: 12,5  </w:t>
            </w:r>
          </w:p>
          <w:p w:rsidR="008047FF" w:rsidRDefault="002E1A2A" w:rsidP="0078545E">
            <w:r>
              <w:rPr>
                <w:rFonts w:ascii="Arial" w:eastAsia="Arial" w:hAnsi="Arial" w:cs="Arial"/>
                <w:b/>
                <w:sz w:val="20"/>
              </w:rPr>
              <w:t xml:space="preserve">Liczba punktów  ECTS: 0,5  </w:t>
            </w:r>
          </w:p>
          <w:p w:rsidR="008047FF" w:rsidRDefault="002E1A2A" w:rsidP="0078545E">
            <w:r>
              <w:rPr>
                <w:rFonts w:ascii="Arial" w:eastAsia="Arial" w:hAnsi="Arial" w:cs="Arial"/>
                <w:b/>
                <w:sz w:val="20"/>
              </w:rPr>
              <w:t>w tym w ramach zajęć kształtujących umiejętności praktyczne: 0,5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33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446"/>
            </w:pPr>
            <w:r>
              <w:rPr>
                <w:rFonts w:ascii="Arial" w:eastAsia="Arial" w:hAnsi="Arial" w:cs="Arial"/>
                <w:sz w:val="20"/>
              </w:rPr>
              <w:t xml:space="preserve">Brak   </w:t>
            </w:r>
          </w:p>
        </w:tc>
      </w:tr>
      <w:tr w:rsidR="008047FF">
        <w:trPr>
          <w:trHeight w:val="449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TREŚCI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spacing w:after="80"/>
              <w:ind w:left="162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44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poziomy komunikacji interpersonalnej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4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elementy łańcucha komunikacyjnego i  ich znaczenie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4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efektywna / nieefektywna komunikacja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42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aktywne słuchanie i podstawowe techniki w tym zakresie 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4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rola pytań w komunikacji i ich typologia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46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odzwierciedlenie werbalne /niewerbalne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18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bariery w komunikacji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44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style komunikacji międzyludzkiej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44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rola komunikacji pozawerbalnej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4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model SOFTEN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42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rodzaje komunikatów pozawerbalnych  </w:t>
            </w:r>
          </w:p>
          <w:p w:rsidR="008047FF" w:rsidRDefault="002E1A2A">
            <w:pPr>
              <w:numPr>
                <w:ilvl w:val="0"/>
                <w:numId w:val="2"/>
              </w:numPr>
              <w:spacing w:after="43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gesty - różnice kulturowe  </w:t>
            </w:r>
          </w:p>
          <w:p w:rsidR="008047FF" w:rsidRDefault="002E1A2A">
            <w:pPr>
              <w:numPr>
                <w:ilvl w:val="0"/>
                <w:numId w:val="2"/>
              </w:numPr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role w zespole  </w:t>
            </w:r>
          </w:p>
          <w:p w:rsidR="008047FF" w:rsidRDefault="002E1A2A">
            <w:pPr>
              <w:ind w:left="229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8047FF" w:rsidRDefault="002E1A2A">
            <w:pPr>
              <w:ind w:left="229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 </w:t>
            </w:r>
          </w:p>
        </w:tc>
      </w:tr>
      <w:tr w:rsidR="008047FF">
        <w:trPr>
          <w:trHeight w:val="110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47FF" w:rsidRDefault="002E1A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047FF" w:rsidRDefault="002E1A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047FF" w:rsidRDefault="002E1A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47FF" w:rsidRDefault="002E1A2A">
            <w:pPr>
              <w:tabs>
                <w:tab w:val="center" w:pos="142"/>
                <w:tab w:val="center" w:pos="4259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1.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Komunikacja między ludźmi : motywacja, wiedza, umiejętności /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Sherwyn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Morreale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</w:p>
          <w:p w:rsidR="008047FF" w:rsidRDefault="002E1A2A">
            <w:pPr>
              <w:ind w:left="1135"/>
            </w:pPr>
            <w:r>
              <w:rPr>
                <w:rFonts w:ascii="Arial" w:eastAsia="Arial" w:hAnsi="Arial" w:cs="Arial"/>
                <w:sz w:val="20"/>
              </w:rPr>
              <w:t xml:space="preserve">Brian H.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Spitzberg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J. Kevin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Barge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; przełożyli Paweł Izdebski, Aleksandra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JaworskaSurma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Dorota Kobylińska ; redakcja naukowa polskiego wydania Hanna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Brycz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- Wydanie II - 3 dodruk.  - Warszawa : Wydawnictwo Naukowe PWN, 2021.  </w:t>
            </w:r>
          </w:p>
        </w:tc>
      </w:tr>
      <w:tr w:rsidR="008047FF">
        <w:trPr>
          <w:trHeight w:val="554"/>
        </w:trPr>
        <w:tc>
          <w:tcPr>
            <w:tcW w:w="1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047FF" w:rsidRDefault="002E1A2A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2.  </w:t>
            </w:r>
          </w:p>
        </w:tc>
        <w:tc>
          <w:tcPr>
            <w:tcW w:w="68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047FF" w:rsidRDefault="002E1A2A">
            <w:pPr>
              <w:ind w:left="408"/>
            </w:pPr>
            <w:r>
              <w:rPr>
                <w:rFonts w:ascii="Arial" w:eastAsia="Arial" w:hAnsi="Arial" w:cs="Arial"/>
                <w:sz w:val="20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Francik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M. Kot-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Radojewska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Kapitał ludzki w organizacji opartej na wiedzy,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Warszawa 2020,  </w:t>
            </w:r>
          </w:p>
        </w:tc>
      </w:tr>
      <w:tr w:rsidR="008047FF">
        <w:trPr>
          <w:trHeight w:val="560"/>
        </w:trPr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47FF" w:rsidRDefault="002E1A2A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3.  </w:t>
            </w:r>
          </w:p>
        </w:tc>
        <w:tc>
          <w:tcPr>
            <w:tcW w:w="6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408"/>
            </w:pPr>
            <w:r>
              <w:rPr>
                <w:rFonts w:ascii="Arial" w:eastAsia="Arial" w:hAnsi="Arial" w:cs="Arial"/>
                <w:sz w:val="20"/>
              </w:rPr>
              <w:t xml:space="preserve">D.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Grominicka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Jak słyszysz, tak reagujesz : czyli efektywność komunikacji między nadawcą a odbiorą, Personel i Zarządzanie 2019, nr 4, s. 63-67  </w:t>
            </w:r>
          </w:p>
        </w:tc>
      </w:tr>
      <w:tr w:rsidR="008047FF">
        <w:trPr>
          <w:trHeight w:val="5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47FF" w:rsidRDefault="002E1A2A">
            <w:pPr>
              <w:ind w:firstLine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047FF" w:rsidRDefault="002E1A2A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1.  </w:t>
            </w: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047FF" w:rsidRDefault="002E1A2A">
            <w:pPr>
              <w:ind w:left="408"/>
            </w:pPr>
            <w:r>
              <w:rPr>
                <w:rFonts w:ascii="Arial" w:eastAsia="Arial" w:hAnsi="Arial" w:cs="Arial"/>
                <w:sz w:val="20"/>
              </w:rPr>
              <w:t xml:space="preserve">Business-to-business marketing / Ross Brennan, Louise Canning, Raymond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McDowell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- 5th ed.  - London [et. al.] : SAGE Publications Inc., 2020.  </w:t>
            </w:r>
          </w:p>
        </w:tc>
      </w:tr>
      <w:tr w:rsidR="008047FF">
        <w:trPr>
          <w:trHeight w:val="1066"/>
        </w:trPr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spacing w:after="82" w:line="244" w:lineRule="auto"/>
              <w:ind w:left="1133" w:hanging="1061"/>
            </w:pPr>
            <w:r>
              <w:rPr>
                <w:rFonts w:ascii="Arial" w:eastAsia="Arial" w:hAnsi="Arial" w:cs="Arial"/>
                <w:sz w:val="20"/>
              </w:rPr>
              <w:t xml:space="preserve">2.  </w:t>
            </w:r>
            <w:r>
              <w:rPr>
                <w:rFonts w:ascii="Arial" w:eastAsia="Arial" w:hAnsi="Arial" w:cs="Arial"/>
                <w:sz w:val="20"/>
              </w:rPr>
              <w:tab/>
              <w:t>M. Kot-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Radojewska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Wartość kapitału ludzkiego w organizacji w kontekście elastycznych form zatrudnienia : perspektywa interesariuszy, Wydawnictwo Naukowe Wyższa Szkoła Biznesu w  Dąbrowie Górniczej, Dąbrowa Górnicza 2017  </w:t>
            </w:r>
          </w:p>
          <w:p w:rsidR="008047FF" w:rsidRDefault="002E1A2A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8047FF">
        <w:trPr>
          <w:trHeight w:val="123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PUBLIKACJE </w:t>
            </w:r>
          </w:p>
          <w:p w:rsidR="008047FF" w:rsidRDefault="002E1A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NAUKOWE OSÓB </w:t>
            </w:r>
          </w:p>
          <w:p w:rsidR="008047FF" w:rsidRDefault="002E1A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PROWADZĄCYCH </w:t>
            </w:r>
          </w:p>
          <w:p w:rsidR="008047FF" w:rsidRDefault="002E1A2A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ZAJĘCIA ZWIĄZANE Z </w:t>
            </w:r>
          </w:p>
          <w:p w:rsidR="008047FF" w:rsidRDefault="002E1A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>TEMATYKĄ MODUŁU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numPr>
                <w:ilvl w:val="0"/>
                <w:numId w:val="3"/>
              </w:numPr>
              <w:spacing w:after="31" w:line="246" w:lineRule="auto"/>
              <w:ind w:right="181" w:hanging="36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Francik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M. Kot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Radojewska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Kapitał ludzki w organizacji opartej na wiedzy,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Warszawa 2020,  </w:t>
            </w:r>
          </w:p>
          <w:p w:rsidR="008047FF" w:rsidRDefault="002E1A2A">
            <w:pPr>
              <w:numPr>
                <w:ilvl w:val="0"/>
                <w:numId w:val="3"/>
              </w:numPr>
              <w:spacing w:line="249" w:lineRule="auto"/>
              <w:ind w:right="181" w:hanging="360"/>
            </w:pPr>
            <w:r>
              <w:rPr>
                <w:rFonts w:ascii="Arial" w:eastAsia="Arial" w:hAnsi="Arial" w:cs="Arial"/>
                <w:sz w:val="20"/>
              </w:rPr>
              <w:t>M. Kot-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Radojewska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Wartość kapitału ludzkiego w organizacji w kontekście elastycznych form zatrudnienia : perspektywa interesariuszy, Wydawnictwo Naukowe </w:t>
            </w:r>
          </w:p>
          <w:p w:rsidR="008047FF" w:rsidRDefault="002E1A2A">
            <w:pPr>
              <w:ind w:left="721"/>
            </w:pPr>
            <w:r>
              <w:rPr>
                <w:rFonts w:ascii="Arial" w:eastAsia="Arial" w:hAnsi="Arial" w:cs="Arial"/>
                <w:sz w:val="20"/>
              </w:rPr>
              <w:t xml:space="preserve">Wyższa Szkoła Biznesu w  Dąbrowie Górniczej, Dąbrowa Górnicza 2017 </w:t>
            </w:r>
          </w:p>
        </w:tc>
      </w:tr>
      <w:tr w:rsidR="008047FF">
        <w:trPr>
          <w:trHeight w:val="205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7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047FF" w:rsidRDefault="002E1A2A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spacing w:after="79"/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 </w:t>
            </w:r>
          </w:p>
          <w:p w:rsidR="008047FF" w:rsidRDefault="002E1A2A">
            <w:pPr>
              <w:numPr>
                <w:ilvl w:val="0"/>
                <w:numId w:val="4"/>
              </w:numPr>
              <w:spacing w:after="14"/>
              <w:ind w:left="426" w:hanging="284"/>
            </w:pPr>
            <w:r>
              <w:rPr>
                <w:rFonts w:ascii="Arial" w:eastAsia="Arial" w:hAnsi="Arial" w:cs="Arial"/>
                <w:sz w:val="20"/>
              </w:rPr>
              <w:t xml:space="preserve">mini wykład  </w:t>
            </w:r>
          </w:p>
          <w:p w:rsidR="008047FF" w:rsidRDefault="002E1A2A">
            <w:pPr>
              <w:numPr>
                <w:ilvl w:val="0"/>
                <w:numId w:val="4"/>
              </w:numPr>
              <w:spacing w:after="18"/>
              <w:ind w:left="426" w:hanging="28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case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8047FF" w:rsidRDefault="002E1A2A">
            <w:pPr>
              <w:numPr>
                <w:ilvl w:val="0"/>
                <w:numId w:val="4"/>
              </w:numPr>
              <w:spacing w:after="16"/>
              <w:ind w:left="426" w:hanging="284"/>
            </w:pPr>
            <w:r>
              <w:rPr>
                <w:rFonts w:ascii="Arial" w:eastAsia="Arial" w:hAnsi="Arial" w:cs="Arial"/>
                <w:sz w:val="20"/>
              </w:rPr>
              <w:t xml:space="preserve">praca w grupach i indywidualna  </w:t>
            </w:r>
          </w:p>
          <w:p w:rsidR="008047FF" w:rsidRDefault="002E1A2A">
            <w:pPr>
              <w:numPr>
                <w:ilvl w:val="0"/>
                <w:numId w:val="4"/>
              </w:numPr>
              <w:spacing w:after="18"/>
              <w:ind w:left="426" w:hanging="284"/>
            </w:pPr>
            <w:r>
              <w:rPr>
                <w:rFonts w:ascii="Arial" w:eastAsia="Arial" w:hAnsi="Arial" w:cs="Arial"/>
                <w:sz w:val="20"/>
              </w:rPr>
              <w:t xml:space="preserve">symulacje  </w:t>
            </w:r>
          </w:p>
          <w:p w:rsidR="008047FF" w:rsidRDefault="002E1A2A">
            <w:pPr>
              <w:numPr>
                <w:ilvl w:val="0"/>
                <w:numId w:val="4"/>
              </w:numPr>
              <w:ind w:left="426" w:hanging="284"/>
            </w:pPr>
            <w:r>
              <w:rPr>
                <w:rFonts w:ascii="Arial" w:eastAsia="Arial" w:hAnsi="Arial" w:cs="Arial"/>
                <w:sz w:val="20"/>
              </w:rPr>
              <w:t xml:space="preserve">prezentacja multimedialna  </w:t>
            </w:r>
          </w:p>
          <w:p w:rsidR="008047FF" w:rsidRDefault="002E1A2A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8047FF" w:rsidRDefault="002E1A2A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W formie e-learning: nie dotyczy  </w:t>
            </w:r>
          </w:p>
        </w:tc>
      </w:tr>
      <w:tr w:rsidR="008047FF">
        <w:trPr>
          <w:trHeight w:val="33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POMOCE NAUKOWE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Karty DIXIT, opisy przypadków, scenariusze gier i ćwiczeń komunikacyjnych, testy  </w:t>
            </w:r>
          </w:p>
        </w:tc>
      </w:tr>
      <w:tr w:rsidR="008047FF">
        <w:trPr>
          <w:trHeight w:val="51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PROJEKT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Cel projektu: Nie dotyczy  </w:t>
            </w:r>
          </w:p>
          <w:p w:rsidR="008047FF" w:rsidRDefault="002E1A2A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047FF">
        <w:trPr>
          <w:trHeight w:val="158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spacing w:after="55" w:line="241" w:lineRule="auto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I WARUNKI ZALICZENIA </w:t>
            </w:r>
          </w:p>
          <w:p w:rsidR="008047FF" w:rsidRDefault="002E1A2A">
            <w:pPr>
              <w:ind w:left="70" w:right="85"/>
            </w:pPr>
            <w:r>
              <w:rPr>
                <w:rFonts w:ascii="Arial" w:eastAsia="Arial" w:hAnsi="Arial" w:cs="Arial"/>
                <w:sz w:val="20"/>
              </w:rPr>
              <w:t xml:space="preserve">(z podziałem na  zajęcia w formie bezpośredniej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elearning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7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FF" w:rsidRDefault="002E1A2A">
            <w:pPr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• Realizacja zadań  w trakcie zajęć. </w:t>
            </w:r>
          </w:p>
        </w:tc>
      </w:tr>
    </w:tbl>
    <w:p w:rsidR="008047FF" w:rsidRDefault="002E1A2A">
      <w:pPr>
        <w:spacing w:after="216"/>
        <w:ind w:left="-24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p w:rsidR="008047FF" w:rsidRDefault="002E1A2A">
      <w:pPr>
        <w:spacing w:after="0"/>
        <w:ind w:left="-24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sectPr w:rsidR="008047FF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53AAF"/>
    <w:multiLevelType w:val="hybridMultilevel"/>
    <w:tmpl w:val="F3EC52FA"/>
    <w:lvl w:ilvl="0" w:tplc="926A66C8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708F12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B077D6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2ECFE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9883C8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48BEA0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F49166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7EB63C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EF996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072E7"/>
    <w:multiLevelType w:val="hybridMultilevel"/>
    <w:tmpl w:val="AC72470E"/>
    <w:lvl w:ilvl="0" w:tplc="509E2E2C">
      <w:start w:val="1"/>
      <w:numFmt w:val="bullet"/>
      <w:lvlText w:val="•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F66A00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92B1F6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C40D0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28209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C86EE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4060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70FD7E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C51CC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4803D2"/>
    <w:multiLevelType w:val="hybridMultilevel"/>
    <w:tmpl w:val="69242B76"/>
    <w:lvl w:ilvl="0" w:tplc="A5EE3002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980E10">
      <w:start w:val="1"/>
      <w:numFmt w:val="bullet"/>
      <w:lvlText w:val="o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462E6E">
      <w:start w:val="1"/>
      <w:numFmt w:val="bullet"/>
      <w:lvlText w:val="▪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EF50A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8A36B6">
      <w:start w:val="1"/>
      <w:numFmt w:val="bullet"/>
      <w:lvlText w:val="o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745698">
      <w:start w:val="1"/>
      <w:numFmt w:val="bullet"/>
      <w:lvlText w:val="▪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E9972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40716">
      <w:start w:val="1"/>
      <w:numFmt w:val="bullet"/>
      <w:lvlText w:val="o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64864">
      <w:start w:val="1"/>
      <w:numFmt w:val="bullet"/>
      <w:lvlText w:val="▪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DD1963"/>
    <w:multiLevelType w:val="hybridMultilevel"/>
    <w:tmpl w:val="3D205FE6"/>
    <w:lvl w:ilvl="0" w:tplc="7E4CB568">
      <w:start w:val="1"/>
      <w:numFmt w:val="bullet"/>
      <w:lvlText w:val="•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48146A">
      <w:start w:val="1"/>
      <w:numFmt w:val="bullet"/>
      <w:lvlText w:val="o"/>
      <w:lvlJc w:val="left"/>
      <w:pPr>
        <w:ind w:left="1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61D1A">
      <w:start w:val="1"/>
      <w:numFmt w:val="bullet"/>
      <w:lvlText w:val="▪"/>
      <w:lvlJc w:val="left"/>
      <w:pPr>
        <w:ind w:left="2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AEBC64">
      <w:start w:val="1"/>
      <w:numFmt w:val="bullet"/>
      <w:lvlText w:val="•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2A891C">
      <w:start w:val="1"/>
      <w:numFmt w:val="bullet"/>
      <w:lvlText w:val="o"/>
      <w:lvlJc w:val="left"/>
      <w:pPr>
        <w:ind w:left="4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A96CC">
      <w:start w:val="1"/>
      <w:numFmt w:val="bullet"/>
      <w:lvlText w:val="▪"/>
      <w:lvlJc w:val="left"/>
      <w:pPr>
        <w:ind w:left="4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600B88">
      <w:start w:val="1"/>
      <w:numFmt w:val="bullet"/>
      <w:lvlText w:val="•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CBD8C">
      <w:start w:val="1"/>
      <w:numFmt w:val="bullet"/>
      <w:lvlText w:val="o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06A5B4">
      <w:start w:val="1"/>
      <w:numFmt w:val="bullet"/>
      <w:lvlText w:val="▪"/>
      <w:lvlJc w:val="left"/>
      <w:pPr>
        <w:ind w:left="6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7FF"/>
    <w:rsid w:val="002E1A2A"/>
    <w:rsid w:val="0078545E"/>
    <w:rsid w:val="0080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D516"/>
  <w15:docId w15:val="{9B2BF4C2-934D-45A0-B67A-23E15F90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3</cp:revision>
  <dcterms:created xsi:type="dcterms:W3CDTF">2026-05-22T07:35:00Z</dcterms:created>
  <dcterms:modified xsi:type="dcterms:W3CDTF">2026-05-25T11:45:00Z</dcterms:modified>
</cp:coreProperties>
</file>