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C1" w:rsidRDefault="006C0B32">
      <w:pPr>
        <w:spacing w:after="0"/>
        <w:ind w:left="-144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8" w:type="dxa"/>
        <w:tblInd w:w="-157" w:type="dxa"/>
        <w:tblCellMar>
          <w:top w:w="48" w:type="dxa"/>
          <w:right w:w="4" w:type="dxa"/>
        </w:tblCellMar>
        <w:tblLook w:val="04A0" w:firstRow="1" w:lastRow="0" w:firstColumn="1" w:lastColumn="0" w:noHBand="0" w:noVBand="1"/>
      </w:tblPr>
      <w:tblGrid>
        <w:gridCol w:w="1990"/>
        <w:gridCol w:w="1127"/>
        <w:gridCol w:w="568"/>
        <w:gridCol w:w="1063"/>
        <w:gridCol w:w="781"/>
        <w:gridCol w:w="1993"/>
        <w:gridCol w:w="1976"/>
      </w:tblGrid>
      <w:tr w:rsidR="006C6EC1">
        <w:trPr>
          <w:trHeight w:val="47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C6EC1" w:rsidRDefault="006C0B32">
            <w:pPr>
              <w:tabs>
                <w:tab w:val="center" w:pos="4751"/>
                <w:tab w:val="center" w:pos="566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AKADEMIA WSB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 </w:t>
            </w:r>
          </w:p>
          <w:p w:rsidR="006C6EC1" w:rsidRDefault="006C0B32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</w:p>
        </w:tc>
      </w:tr>
      <w:tr w:rsidR="006C6EC1">
        <w:trPr>
          <w:trHeight w:val="29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29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Przedmiot: Informatyka śledcza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29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29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294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FFFFFF"/>
              <w:right w:val="single" w:sz="4" w:space="0" w:color="000000"/>
            </w:tcBorders>
          </w:tcPr>
          <w:p w:rsidR="006C6EC1" w:rsidRDefault="006C0B3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6C6EC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6EC1"/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right="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1976" w:type="dxa"/>
            <w:tcBorders>
              <w:top w:val="single" w:sz="3" w:space="0" w:color="FFFFFF"/>
              <w:left w:val="single" w:sz="4" w:space="0" w:color="000000"/>
              <w:bottom w:val="single" w:sz="3" w:space="0" w:color="FFFFFF"/>
              <w:right w:val="single" w:sz="4" w:space="0" w:color="000000"/>
            </w:tcBorders>
          </w:tcPr>
          <w:p w:rsidR="006C6EC1" w:rsidRDefault="006C0B32">
            <w:pPr>
              <w:ind w:righ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6C6EC1">
        <w:trPr>
          <w:trHeight w:val="5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76" w:type="dxa"/>
            <w:tcBorders>
              <w:top w:val="single" w:sz="3" w:space="0" w:color="FFFFFF"/>
              <w:left w:val="single" w:sz="4" w:space="0" w:color="000000"/>
              <w:bottom w:val="single" w:sz="3" w:space="0" w:color="FFFFFF"/>
              <w:right w:val="single" w:sz="4" w:space="0" w:color="000000"/>
            </w:tcBorders>
            <w:vAlign w:val="center"/>
          </w:tcPr>
          <w:p w:rsidR="006C6EC1" w:rsidRDefault="006C0B32">
            <w:pPr>
              <w:ind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551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76" w:type="dxa"/>
            <w:tcBorders>
              <w:top w:val="single" w:sz="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EC1" w:rsidRDefault="006C0B32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290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6EC1">
            <w:pPr>
              <w:ind w:left="-2"/>
            </w:pPr>
          </w:p>
        </w:tc>
      </w:tr>
      <w:tr w:rsidR="006C6EC1">
        <w:trPr>
          <w:trHeight w:val="322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Ćwiczenia  </w:t>
            </w:r>
          </w:p>
        </w:tc>
      </w:tr>
      <w:tr w:rsidR="006C6EC1">
        <w:trPr>
          <w:trHeight w:val="55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Celem przedmiotu jest wprowadzenie w szerokie zagadnienie informatyki śledczej i analizy dowodowej w zakresie systemów plików, pamięci operacyjnej i ruchu w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internecie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</w:tc>
      </w:tr>
      <w:tr w:rsidR="006C6EC1">
        <w:trPr>
          <w:trHeight w:val="316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D9D9D9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left="148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left="261" w:hanging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312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6E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6EC1"/>
        </w:tc>
      </w:tr>
      <w:tr w:rsidR="006C6EC1">
        <w:trPr>
          <w:trHeight w:val="311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70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BN2_W07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Student zna konstrukcję systemów plików, pamięci i ruchu sieciowego w stopniu pozwalającym na ich analizę;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-2" w:right="36"/>
            </w:pPr>
            <w:r>
              <w:rPr>
                <w:rFonts w:ascii="Arial" w:eastAsia="Arial" w:hAnsi="Arial" w:cs="Arial"/>
                <w:sz w:val="20"/>
              </w:rPr>
              <w:t xml:space="preserve">Przygotowanie opracowania pisemnego w grupach.  </w:t>
            </w:r>
          </w:p>
        </w:tc>
      </w:tr>
      <w:tr w:rsidR="006C6EC1">
        <w:trPr>
          <w:trHeight w:val="308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1252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BN2_U01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Student właściwie dokonuje oceny i  krytycznej analizy konieczności podejmowania badań z zakresu informatyki śledczej, wykorzystuje odpowiednie metody i narzędzia do przeprowadzenia podstawowej oceny dowodu cyfrowego,  potrafi analizować wyniki pracy specjalistów z tego zakresu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-2" w:right="36"/>
            </w:pPr>
            <w:r>
              <w:rPr>
                <w:rFonts w:ascii="Arial" w:eastAsia="Arial" w:hAnsi="Arial" w:cs="Arial"/>
                <w:sz w:val="20"/>
              </w:rPr>
              <w:t xml:space="preserve">Przygotowanie opracowania pisemnego w grupach. </w:t>
            </w:r>
          </w:p>
        </w:tc>
      </w:tr>
      <w:tr w:rsidR="006C6EC1">
        <w:trPr>
          <w:trHeight w:val="854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BN2_U02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 w:right="17"/>
            </w:pPr>
            <w:r>
              <w:rPr>
                <w:rFonts w:ascii="Arial" w:eastAsia="Arial" w:hAnsi="Arial" w:cs="Arial"/>
                <w:sz w:val="20"/>
              </w:rPr>
              <w:t xml:space="preserve">Student potrafi przeprowadzić analizę dowodową w zakresie systemów plików, pamięci operacyjnej i ruchu sieciowego;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-2" w:right="36"/>
            </w:pPr>
            <w:r>
              <w:rPr>
                <w:rFonts w:ascii="Arial" w:eastAsia="Arial" w:hAnsi="Arial" w:cs="Arial"/>
                <w:sz w:val="20"/>
              </w:rPr>
              <w:t xml:space="preserve">Przygotowanie opracowania pisemnego w grupach. </w:t>
            </w:r>
          </w:p>
        </w:tc>
      </w:tr>
      <w:tr w:rsidR="006C6EC1">
        <w:trPr>
          <w:trHeight w:val="31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FFFFFF"/>
              <w:right w:val="single" w:sz="4" w:space="0" w:color="000000"/>
            </w:tcBorders>
            <w:shd w:val="clear" w:color="auto" w:fill="D9D9D9"/>
          </w:tcPr>
          <w:p w:rsidR="006C6EC1" w:rsidRDefault="006C0B32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703"/>
        </w:trPr>
        <w:tc>
          <w:tcPr>
            <w:tcW w:w="1991" w:type="dxa"/>
            <w:tcBorders>
              <w:top w:val="single" w:sz="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BN2_K05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P7S_KR </w:t>
            </w:r>
          </w:p>
        </w:tc>
        <w:tc>
          <w:tcPr>
            <w:tcW w:w="4404" w:type="dxa"/>
            <w:gridSpan w:val="4"/>
            <w:tcBorders>
              <w:top w:val="single" w:sz="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8" w:right="153"/>
            </w:pPr>
            <w:r>
              <w:rPr>
                <w:rFonts w:ascii="Arial" w:eastAsia="Arial" w:hAnsi="Arial" w:cs="Arial"/>
                <w:sz w:val="20"/>
              </w:rPr>
              <w:t xml:space="preserve">Jest gotów do odpowiedzialnego pełnienia roli  zawodowej uwzględniając znaczenie i zastosowanie jakie  mogą mieć dane pozyskane w ramach analizy  </w:t>
            </w:r>
          </w:p>
        </w:tc>
        <w:tc>
          <w:tcPr>
            <w:tcW w:w="1976" w:type="dxa"/>
            <w:tcBorders>
              <w:top w:val="single" w:sz="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12" w:right="21"/>
            </w:pPr>
            <w:r>
              <w:rPr>
                <w:rFonts w:ascii="Arial" w:eastAsia="Arial" w:hAnsi="Arial" w:cs="Arial"/>
                <w:sz w:val="20"/>
              </w:rPr>
              <w:t>Przygotowanie opracowania pisemnego w grupach.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6C6EC1">
        <w:trPr>
          <w:trHeight w:val="449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C6EC1">
        <w:trPr>
          <w:trHeight w:val="3452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Stacjonarne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realizacja zadań projektowych =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</w:t>
            </w:r>
          </w:p>
          <w:p w:rsidR="006C6EC1" w:rsidRDefault="006C0B32" w:rsidP="001B18BB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 inne  (określ jakie) =  </w:t>
            </w:r>
          </w:p>
          <w:p w:rsidR="006C6EC1" w:rsidRDefault="006C0B32" w:rsidP="001B18BB"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6C6EC1" w:rsidRDefault="006C0B32" w:rsidP="001B18BB">
            <w:pPr>
              <w:spacing w:after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6C6EC1" w:rsidRDefault="006C0B32" w:rsidP="001B18BB">
            <w:pPr>
              <w:tabs>
                <w:tab w:val="center" w:pos="3567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\ 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30 h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przygotowanie do egzaminu = 25h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realizacja zadań projektowych =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6C6EC1" w:rsidRPr="001B18BB" w:rsidRDefault="006C0B32" w:rsidP="001B18BB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6C6EC1" w:rsidRDefault="006C0B32" w:rsidP="001B18BB"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6C6EC1" w:rsidRDefault="006C0B32" w:rsidP="001B18BB"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6C6EC1" w:rsidRDefault="006C0B32" w:rsidP="001B18BB">
            <w:r>
              <w:rPr>
                <w:rFonts w:ascii="Arial" w:eastAsia="Arial" w:hAnsi="Arial" w:cs="Arial"/>
                <w:b/>
                <w:sz w:val="20"/>
              </w:rPr>
              <w:t xml:space="preserve">Liczba punktów  ECTS: 2 </w:t>
            </w:r>
          </w:p>
          <w:p w:rsidR="006C6EC1" w:rsidRDefault="006C0B32" w:rsidP="001B18BB"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2 </w:t>
            </w:r>
          </w:p>
        </w:tc>
      </w:tr>
    </w:tbl>
    <w:p w:rsidR="006C6EC1" w:rsidRDefault="006C6EC1">
      <w:pPr>
        <w:spacing w:after="0"/>
        <w:ind w:left="-1440" w:right="10466"/>
      </w:pPr>
    </w:p>
    <w:tbl>
      <w:tblPr>
        <w:tblStyle w:val="TableGrid"/>
        <w:tblW w:w="9499" w:type="dxa"/>
        <w:tblInd w:w="-158" w:type="dxa"/>
        <w:tblCellMar>
          <w:top w:w="3" w:type="dxa"/>
          <w:right w:w="62" w:type="dxa"/>
        </w:tblCellMar>
        <w:tblLook w:val="04A0" w:firstRow="1" w:lastRow="0" w:firstColumn="1" w:lastColumn="0" w:noHBand="0" w:noVBand="1"/>
      </w:tblPr>
      <w:tblGrid>
        <w:gridCol w:w="1982"/>
        <w:gridCol w:w="1153"/>
        <w:gridCol w:w="6364"/>
      </w:tblGrid>
      <w:tr w:rsidR="006C6EC1">
        <w:trPr>
          <w:trHeight w:val="31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Nie wymaga się  </w:t>
            </w:r>
          </w:p>
        </w:tc>
      </w:tr>
      <w:tr w:rsidR="006C6EC1">
        <w:trPr>
          <w:trHeight w:val="486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235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 </w:t>
            </w:r>
          </w:p>
          <w:p w:rsidR="006C6EC1" w:rsidRDefault="006C0B32">
            <w:pPr>
              <w:spacing w:after="34"/>
              <w:ind w:left="7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7" w:line="279" w:lineRule="auto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Informatyka śledcza – definicje, potrzeby, wymagania, podstawy prawne, aspekty etyczne; główne fazy śledztwa informatycznego  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7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Informatyka śledcza a bezpieczeństwo informacji 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8" w:line="278" w:lineRule="auto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Identyfikacja elektronicznych dowodów winy, zabezpieczanie dowodów na miejscu przestępstwa i w laboratorium badawczym, katalogowanie i przechowywanie dowodów, zabezpieczanie dowodów. 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6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Narzędzia pracy informatycznego śledczego 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7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Wirtualizacja w służbie informatyki śledczej. 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8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Systemy plików – specyfikacje, struktury danych, specyficzne techniki badania.  </w:t>
            </w:r>
          </w:p>
          <w:p w:rsidR="006C6EC1" w:rsidRDefault="006C0B32">
            <w:pPr>
              <w:numPr>
                <w:ilvl w:val="0"/>
                <w:numId w:val="1"/>
              </w:numPr>
              <w:spacing w:after="68" w:line="278" w:lineRule="auto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Rozpoznawanie typów, rekonstrukcja i analiza zawartości plików zawierających potencjalne dowody, interpretacja dzienników zdarzeń aplikacji i logów systemowych, dowodzenie zaistnienia włamania.  </w:t>
            </w:r>
          </w:p>
          <w:p w:rsidR="006C6EC1" w:rsidRDefault="006C0B32">
            <w:pPr>
              <w:numPr>
                <w:ilvl w:val="0"/>
                <w:numId w:val="1"/>
              </w:numPr>
              <w:spacing w:line="328" w:lineRule="auto"/>
              <w:ind w:hanging="358"/>
            </w:pPr>
            <w:r>
              <w:rPr>
                <w:rFonts w:ascii="Arial" w:eastAsia="Arial" w:hAnsi="Arial" w:cs="Arial"/>
                <w:sz w:val="20"/>
              </w:rPr>
              <w:t xml:space="preserve">Pozyskiwanie i analiza dowodów z urządzeń mobilnych.  9. Poszukiwanie dowodów w Internecie.  </w:t>
            </w:r>
          </w:p>
          <w:p w:rsidR="006C6EC1" w:rsidRDefault="006C0B32">
            <w:pPr>
              <w:spacing w:after="2"/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6C6EC1" w:rsidRDefault="006C0B32">
            <w:pPr>
              <w:ind w:left="235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 </w:t>
            </w:r>
          </w:p>
        </w:tc>
      </w:tr>
      <w:tr w:rsidR="006C6EC1">
        <w:trPr>
          <w:trHeight w:val="5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tabs>
                <w:tab w:val="center" w:pos="368"/>
                <w:tab w:val="center" w:pos="87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1. </w:t>
            </w:r>
          </w:p>
        </w:tc>
        <w:tc>
          <w:tcPr>
            <w:tcW w:w="63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H.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Carvey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Analiza śledcza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powłamaniowa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Zaawansowane techniki prowadzenia analizy  w systemie Windows 7. Wydanie III, Helion 2013.  </w:t>
            </w:r>
          </w:p>
        </w:tc>
      </w:tr>
      <w:tr w:rsidR="006C6EC1">
        <w:trPr>
          <w:trHeight w:val="528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tabs>
                <w:tab w:val="center" w:pos="368"/>
                <w:tab w:val="center" w:pos="87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Altheide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H.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Carvey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Informatyka śledcza. Przewodnik po narzędziach open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source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Helion 2014.  </w:t>
            </w:r>
          </w:p>
        </w:tc>
      </w:tr>
      <w:tr w:rsidR="006C6EC1">
        <w:trPr>
          <w:trHeight w:val="268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tabs>
                <w:tab w:val="center" w:pos="368"/>
                <w:tab w:val="center" w:pos="87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3.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Chojnowski, Informatyka sądowa w praktyce (ebook), Helion 2019. </w:t>
            </w:r>
          </w:p>
        </w:tc>
      </w:tr>
      <w:tr w:rsidR="006C6EC1">
        <w:trPr>
          <w:trHeight w:val="460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Białas S., Wójcik P.,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Cyberbezpieczeństwo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>. Zarys problematyki</w:t>
            </w:r>
            <w:r>
              <w:rPr>
                <w:rFonts w:ascii="Arial" w:eastAsia="Arial" w:hAnsi="Arial" w:cs="Arial"/>
                <w:sz w:val="20"/>
              </w:rPr>
              <w:t xml:space="preserve">, Wydawnictwo Naukowe PWN, Warszawa 2020. </w:t>
            </w:r>
          </w:p>
        </w:tc>
      </w:tr>
      <w:tr w:rsidR="006C6EC1">
        <w:trPr>
          <w:trHeight w:val="460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proofErr w:type="spellStart"/>
            <w:r>
              <w:rPr>
                <w:rFonts w:ascii="Arial" w:eastAsia="Arial" w:hAnsi="Arial" w:cs="Arial"/>
                <w:sz w:val="20"/>
              </w:rPr>
              <w:t>Luttgens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 T.,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Pepe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Mandia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K., </w:t>
            </w:r>
            <w:r>
              <w:rPr>
                <w:rFonts w:ascii="Arial" w:eastAsia="Arial" w:hAnsi="Arial" w:cs="Arial"/>
                <w:i/>
                <w:sz w:val="20"/>
              </w:rPr>
              <w:t>Incydenty bezpieczeństwa. Metody reagowania w informatyce śledczej</w:t>
            </w:r>
            <w:r>
              <w:rPr>
                <w:rFonts w:ascii="Arial" w:eastAsia="Arial" w:hAnsi="Arial" w:cs="Arial"/>
                <w:sz w:val="20"/>
              </w:rPr>
              <w:t xml:space="preserve">, Helion, Gliwice 2021. </w:t>
            </w:r>
          </w:p>
        </w:tc>
      </w:tr>
      <w:tr w:rsidR="006C6EC1">
        <w:trPr>
          <w:trHeight w:val="229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proofErr w:type="spellStart"/>
            <w:r>
              <w:rPr>
                <w:rFonts w:ascii="Arial" w:eastAsia="Arial" w:hAnsi="Arial" w:cs="Arial"/>
                <w:sz w:val="20"/>
              </w:rPr>
              <w:t>Sammons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J., </w:t>
            </w:r>
            <w:r>
              <w:rPr>
                <w:rFonts w:ascii="Arial" w:eastAsia="Arial" w:hAnsi="Arial" w:cs="Arial"/>
                <w:i/>
                <w:sz w:val="20"/>
              </w:rPr>
              <w:t>Podstawy informatyki śledczej</w:t>
            </w:r>
            <w:r>
              <w:rPr>
                <w:rFonts w:ascii="Arial" w:eastAsia="Arial" w:hAnsi="Arial" w:cs="Arial"/>
                <w:sz w:val="20"/>
              </w:rPr>
              <w:t xml:space="preserve">, Helion, Gliwice 2022. </w:t>
            </w:r>
          </w:p>
        </w:tc>
      </w:tr>
      <w:tr w:rsidR="006C6EC1">
        <w:trPr>
          <w:trHeight w:val="460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7.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Nelson B., Phillips A.,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Steuart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C., </w:t>
            </w:r>
            <w:r>
              <w:rPr>
                <w:rFonts w:ascii="Arial" w:eastAsia="Arial" w:hAnsi="Arial" w:cs="Arial"/>
                <w:i/>
                <w:sz w:val="20"/>
              </w:rPr>
              <w:t>Informatyka śledcza i dochodzenia komputerowe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Cengage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Learning 2019. </w:t>
            </w:r>
          </w:p>
        </w:tc>
      </w:tr>
      <w:tr w:rsidR="006C6EC1">
        <w:trPr>
          <w:trHeight w:val="691"/>
        </w:trPr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6EC1" w:rsidRDefault="006C0B32">
            <w:pPr>
              <w:spacing w:after="211"/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8. </w:t>
            </w:r>
          </w:p>
          <w:p w:rsidR="006C6EC1" w:rsidRDefault="006C0B32">
            <w:pPr>
              <w:ind w:left="43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roofErr w:type="spellStart"/>
            <w:r>
              <w:rPr>
                <w:rFonts w:ascii="Arial" w:eastAsia="Arial" w:hAnsi="Arial" w:cs="Arial"/>
                <w:sz w:val="20"/>
              </w:rPr>
              <w:t>Casey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E.,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Digital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Evidence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Computer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Crime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Forensic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Science,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Computers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and the Internet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Academic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Press, 2019.  </w:t>
            </w:r>
          </w:p>
        </w:tc>
      </w:tr>
      <w:tr w:rsidR="006C6EC1">
        <w:trPr>
          <w:trHeight w:val="54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0B32">
            <w:pPr>
              <w:ind w:left="5" w:firstLine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1. </w:t>
            </w:r>
            <w:r>
              <w:rPr>
                <w:rFonts w:ascii="Arial" w:eastAsia="Arial" w:hAnsi="Arial" w:cs="Arial"/>
                <w:sz w:val="31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vertAlign w:val="subscript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63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G.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Johansen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Digital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Forensics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Incident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Response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2017,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Packt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Publishing.  </w:t>
            </w:r>
          </w:p>
          <w:p w:rsidR="006C6EC1" w:rsidRDefault="006C0B32">
            <w:r>
              <w:rPr>
                <w:rFonts w:ascii="Arial" w:eastAsia="Arial" w:hAnsi="Arial" w:cs="Arial"/>
                <w:sz w:val="20"/>
              </w:rPr>
              <w:lastRenderedPageBreak/>
              <w:t xml:space="preserve">B.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Nikkel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Practical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Forensic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Imaging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2016, No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Starch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Press.  </w:t>
            </w:r>
          </w:p>
        </w:tc>
      </w:tr>
      <w:tr w:rsidR="006C6EC1">
        <w:trPr>
          <w:trHeight w:val="475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tabs>
                <w:tab w:val="center" w:pos="79"/>
                <w:tab w:val="center" w:pos="87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3.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A. Cory, C.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Harlan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Informatyka śledcza. Przewodnik po narzędziach open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source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Helion 2021.  </w:t>
            </w:r>
          </w:p>
        </w:tc>
      </w:tr>
      <w:tr w:rsidR="006C6EC1">
        <w:trPr>
          <w:trHeight w:val="463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tabs>
                <w:tab w:val="center" w:pos="7"/>
                <w:tab w:val="center" w:pos="87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4.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L. Jason, P.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Matthew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M. Kevin, Incydenty bezpieczeństwa. Metody reagowania w informatyce śledczej, Wydawnictwo Helion, 2021  </w:t>
            </w:r>
          </w:p>
        </w:tc>
      </w:tr>
      <w:tr w:rsidR="006C6EC1">
        <w:trPr>
          <w:trHeight w:val="460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proofErr w:type="spellStart"/>
            <w:r>
              <w:rPr>
                <w:rFonts w:ascii="Arial" w:eastAsia="Arial" w:hAnsi="Arial" w:cs="Arial"/>
                <w:sz w:val="20"/>
              </w:rPr>
              <w:t>Nikkel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B.,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Practical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Forensic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Imaging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Securing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Evidence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with Linux Tools</w:t>
            </w:r>
            <w:r>
              <w:rPr>
                <w:rFonts w:ascii="Arial" w:eastAsia="Arial" w:hAnsi="Arial" w:cs="Arial"/>
                <w:sz w:val="20"/>
              </w:rPr>
              <w:t xml:space="preserve">, No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Starch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Press, 2021. </w:t>
            </w:r>
          </w:p>
        </w:tc>
      </w:tr>
      <w:tr w:rsidR="006C6EC1">
        <w:trPr>
          <w:trHeight w:val="458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sz w:val="20"/>
              </w:rPr>
              <w:t xml:space="preserve">Leszczyna R. (red.),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Cyberbezpieczeństwo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– wybrane zagadnienia</w:t>
            </w:r>
            <w:r>
              <w:rPr>
                <w:rFonts w:ascii="Arial" w:eastAsia="Arial" w:hAnsi="Arial" w:cs="Arial"/>
                <w:sz w:val="20"/>
              </w:rPr>
              <w:t xml:space="preserve">, PWN, Warszawa 2020. </w:t>
            </w:r>
          </w:p>
        </w:tc>
      </w:tr>
      <w:tr w:rsidR="006C6EC1">
        <w:trPr>
          <w:trHeight w:val="230"/>
        </w:trPr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7. 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6EC1" w:rsidRDefault="006C0B32">
            <w:proofErr w:type="spellStart"/>
            <w:r>
              <w:rPr>
                <w:rFonts w:ascii="Arial" w:eastAsia="Arial" w:hAnsi="Arial" w:cs="Arial"/>
                <w:sz w:val="20"/>
              </w:rPr>
              <w:t>Sammons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J.,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Digital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Forensics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Basics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Elsevier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Syngress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2022. </w:t>
            </w:r>
          </w:p>
        </w:tc>
      </w:tr>
      <w:tr w:rsidR="006C6EC1">
        <w:trPr>
          <w:trHeight w:val="460"/>
        </w:trPr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6EC1"/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6EC1" w:rsidRDefault="006C0B32">
            <w:pPr>
              <w:ind w:right="1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8. </w:t>
            </w:r>
          </w:p>
          <w:p w:rsidR="006C6EC1" w:rsidRDefault="006C0B32">
            <w:pPr>
              <w:ind w:left="43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roofErr w:type="spellStart"/>
            <w:r>
              <w:rPr>
                <w:rFonts w:ascii="Arial" w:eastAsia="Arial" w:hAnsi="Arial" w:cs="Arial"/>
                <w:sz w:val="20"/>
              </w:rPr>
              <w:t>Craiger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Shenoi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S. (red.),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Advances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in Digital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Forensics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XVI</w:t>
            </w:r>
            <w:r>
              <w:rPr>
                <w:rFonts w:ascii="Arial" w:eastAsia="Arial" w:hAnsi="Arial" w:cs="Arial"/>
                <w:sz w:val="20"/>
              </w:rPr>
              <w:t xml:space="preserve">, Springer, 2020. </w:t>
            </w:r>
          </w:p>
        </w:tc>
      </w:tr>
      <w:tr w:rsidR="006C6EC1">
        <w:trPr>
          <w:trHeight w:val="115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</w:p>
          <w:p w:rsidR="006C6EC1" w:rsidRDefault="006C0B32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>TEMATYKĄ MODUŁU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6C6EC1">
        <w:trPr>
          <w:trHeight w:val="95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spacing w:after="10"/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</w:t>
            </w:r>
          </w:p>
          <w:p w:rsidR="006C6EC1" w:rsidRDefault="006C0B32">
            <w:pPr>
              <w:ind w:left="187"/>
            </w:pPr>
            <w:r>
              <w:rPr>
                <w:rFonts w:ascii="Arial" w:eastAsia="Arial" w:hAnsi="Arial" w:cs="Arial"/>
                <w:sz w:val="20"/>
              </w:rPr>
              <w:t xml:space="preserve">•  metody laboratoryjne    </w:t>
            </w:r>
          </w:p>
          <w:p w:rsidR="006C6EC1" w:rsidRDefault="006C0B32">
            <w:pPr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 </w:t>
            </w:r>
          </w:p>
        </w:tc>
      </w:tr>
      <w:tr w:rsidR="006C6EC1">
        <w:trPr>
          <w:trHeight w:val="50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numPr>
                <w:ilvl w:val="0"/>
                <w:numId w:val="2"/>
              </w:numPr>
              <w:spacing w:after="1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 </w:t>
            </w:r>
          </w:p>
          <w:p w:rsidR="006C6EC1" w:rsidRDefault="006C0B32">
            <w:pPr>
              <w:numPr>
                <w:ilvl w:val="0"/>
                <w:numId w:val="2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teksty źródłowe,  </w:t>
            </w:r>
          </w:p>
        </w:tc>
      </w:tr>
      <w:tr w:rsidR="006C6EC1">
        <w:trPr>
          <w:trHeight w:val="48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r>
              <w:rPr>
                <w:rFonts w:ascii="Arial" w:eastAsia="Arial" w:hAnsi="Arial" w:cs="Arial"/>
                <w:b/>
                <w:sz w:val="20"/>
              </w:rPr>
              <w:t xml:space="preserve">PROJEKT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Nie dotyczy  </w:t>
            </w:r>
          </w:p>
        </w:tc>
      </w:tr>
      <w:tr w:rsidR="006C6EC1">
        <w:trPr>
          <w:trHeight w:val="55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spacing w:after="38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6EC1" w:rsidRDefault="006C0B32">
            <w:r>
              <w:rPr>
                <w:rFonts w:ascii="Arial" w:eastAsia="Arial" w:hAnsi="Arial" w:cs="Arial"/>
                <w:b/>
                <w:sz w:val="20"/>
              </w:rPr>
              <w:t xml:space="preserve">ZALICZENIA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C1" w:rsidRDefault="006C0B3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 xml:space="preserve">Ćwiczenia – zaliczenie na ocenę  </w:t>
            </w:r>
          </w:p>
          <w:p w:rsidR="006C6EC1" w:rsidRDefault="006C0B3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 xml:space="preserve">Zaliczenie na podstawie przygotowanej w grupach pracy pisemnej.   </w:t>
            </w:r>
          </w:p>
        </w:tc>
      </w:tr>
    </w:tbl>
    <w:p w:rsidR="006C6EC1" w:rsidRDefault="006C0B32">
      <w:pPr>
        <w:spacing w:after="221"/>
        <w:ind w:left="-24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p w:rsidR="006C6EC1" w:rsidRDefault="006C0B32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sectPr w:rsidR="006C6EC1">
      <w:pgSz w:w="11906" w:h="16838"/>
      <w:pgMar w:top="1426" w:right="1440" w:bottom="141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944D0"/>
    <w:multiLevelType w:val="hybridMultilevel"/>
    <w:tmpl w:val="21AC209E"/>
    <w:lvl w:ilvl="0" w:tplc="B7142D68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CE4C0">
      <w:start w:val="1"/>
      <w:numFmt w:val="bullet"/>
      <w:lvlText w:val="o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F6E164">
      <w:start w:val="1"/>
      <w:numFmt w:val="bullet"/>
      <w:lvlText w:val="▪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00328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C46974">
      <w:start w:val="1"/>
      <w:numFmt w:val="bullet"/>
      <w:lvlText w:val="o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6832C0">
      <w:start w:val="1"/>
      <w:numFmt w:val="bullet"/>
      <w:lvlText w:val="▪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00B72C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7E6D84">
      <w:start w:val="1"/>
      <w:numFmt w:val="bullet"/>
      <w:lvlText w:val="o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474BC">
      <w:start w:val="1"/>
      <w:numFmt w:val="bullet"/>
      <w:lvlText w:val="▪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282EA3"/>
    <w:multiLevelType w:val="hybridMultilevel"/>
    <w:tmpl w:val="C7745DBE"/>
    <w:lvl w:ilvl="0" w:tplc="DCC623BC">
      <w:start w:val="1"/>
      <w:numFmt w:val="decimal"/>
      <w:lvlText w:val="%1.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C4D338">
      <w:start w:val="1"/>
      <w:numFmt w:val="lowerLetter"/>
      <w:lvlText w:val="%2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7247FA">
      <w:start w:val="1"/>
      <w:numFmt w:val="lowerRoman"/>
      <w:lvlText w:val="%3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8A4E0">
      <w:start w:val="1"/>
      <w:numFmt w:val="decimal"/>
      <w:lvlText w:val="%4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6BB94">
      <w:start w:val="1"/>
      <w:numFmt w:val="lowerLetter"/>
      <w:lvlText w:val="%5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646ECC">
      <w:start w:val="1"/>
      <w:numFmt w:val="lowerRoman"/>
      <w:lvlText w:val="%6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96F038">
      <w:start w:val="1"/>
      <w:numFmt w:val="decimal"/>
      <w:lvlText w:val="%7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266BA">
      <w:start w:val="1"/>
      <w:numFmt w:val="lowerLetter"/>
      <w:lvlText w:val="%8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C1360">
      <w:start w:val="1"/>
      <w:numFmt w:val="lowerRoman"/>
      <w:lvlText w:val="%9"/>
      <w:lvlJc w:val="left"/>
      <w:pPr>
        <w:ind w:left="6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C1"/>
    <w:rsid w:val="001B18BB"/>
    <w:rsid w:val="006C0B32"/>
    <w:rsid w:val="006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5D5"/>
  <w15:docId w15:val="{76F18D86-92E4-497C-AFE2-A0A023A8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4</cp:revision>
  <dcterms:created xsi:type="dcterms:W3CDTF">2026-05-25T07:06:00Z</dcterms:created>
  <dcterms:modified xsi:type="dcterms:W3CDTF">2026-05-25T12:05:00Z</dcterms:modified>
</cp:coreProperties>
</file>