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B6" w:rsidRDefault="00B800B6">
      <w:pPr>
        <w:ind w:left="-1440" w:right="10466"/>
      </w:pPr>
    </w:p>
    <w:tbl>
      <w:tblPr>
        <w:tblStyle w:val="TableGrid"/>
        <w:tblW w:w="9497" w:type="dxa"/>
        <w:tblInd w:w="-164" w:type="dxa"/>
        <w:tblCellMar>
          <w:top w:w="39" w:type="dxa"/>
          <w:right w:w="5" w:type="dxa"/>
        </w:tblCellMar>
        <w:tblLook w:val="04A0" w:firstRow="1" w:lastRow="0" w:firstColumn="1" w:lastColumn="0" w:noHBand="0" w:noVBand="1"/>
      </w:tblPr>
      <w:tblGrid>
        <w:gridCol w:w="2144"/>
        <w:gridCol w:w="975"/>
        <w:gridCol w:w="566"/>
        <w:gridCol w:w="1844"/>
        <w:gridCol w:w="1985"/>
        <w:gridCol w:w="1983"/>
      </w:tblGrid>
      <w:tr w:rsidR="00B800B6">
        <w:trPr>
          <w:trHeight w:val="537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800B6" w:rsidRDefault="008E64CF">
            <w:pPr>
              <w:spacing w:after="57"/>
              <w:ind w:left="1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B800B6" w:rsidRDefault="008E64CF">
            <w:pPr>
              <w:tabs>
                <w:tab w:val="center" w:pos="4744"/>
                <w:tab w:val="center" w:pos="5527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 xml:space="preserve">Wydział w Krakowie </w:t>
            </w:r>
            <w:r>
              <w:rPr>
                <w:b/>
                <w:i w:val="0"/>
              </w:rPr>
              <w:tab/>
              <w:t xml:space="preserve"> </w:t>
            </w:r>
          </w:p>
        </w:tc>
      </w:tr>
      <w:tr w:rsidR="00B800B6">
        <w:trPr>
          <w:trHeight w:val="275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B800B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Przedmiot: ANTYKRYMINALISTYKA </w:t>
            </w:r>
          </w:p>
        </w:tc>
      </w:tr>
      <w:tr w:rsidR="00B800B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B800B6">
        <w:trPr>
          <w:trHeight w:val="274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B800B6" w:rsidTr="008E64CF">
        <w:trPr>
          <w:trHeight w:val="274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>Liczba godzin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3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B800B6" w:rsidTr="008E64CF">
        <w:trPr>
          <w:trHeight w:val="274"/>
        </w:trPr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5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0"/>
              <w:jc w:val="center"/>
            </w:pPr>
            <w:r>
              <w:rPr>
                <w:b/>
                <w:i w:val="0"/>
              </w:rPr>
              <w:t xml:space="preserve">III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"/>
              <w:jc w:val="center"/>
            </w:pPr>
            <w:r>
              <w:rPr>
                <w:i w:val="0"/>
              </w:rPr>
              <w:t xml:space="preserve">IV </w:t>
            </w:r>
          </w:p>
        </w:tc>
      </w:tr>
      <w:tr w:rsidR="00B800B6" w:rsidTr="008E64CF">
        <w:trPr>
          <w:trHeight w:val="53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68"/>
            </w:pPr>
            <w:r>
              <w:rPr>
                <w:i w:val="0"/>
              </w:rPr>
              <w:t xml:space="preserve">Studia stacjonarne </w:t>
            </w:r>
          </w:p>
          <w:p w:rsidR="00B800B6" w:rsidRDefault="008E64CF">
            <w:pPr>
              <w:ind w:left="68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4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48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1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B800B6" w:rsidTr="008E64CF">
        <w:trPr>
          <w:trHeight w:val="53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68"/>
            </w:pPr>
            <w:r>
              <w:rPr>
                <w:i w:val="0"/>
              </w:rPr>
              <w:t xml:space="preserve">Studia niestacjonarne </w:t>
            </w:r>
          </w:p>
          <w:p w:rsidR="00B800B6" w:rsidRDefault="008E64CF">
            <w:pPr>
              <w:ind w:left="68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4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0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0" w:right="1"/>
              <w:jc w:val="center"/>
            </w:pPr>
            <w:r>
              <w:rPr>
                <w:b/>
                <w:i w:val="0"/>
              </w:rPr>
              <w:t xml:space="preserve">18 h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B6" w:rsidRDefault="008E64CF">
            <w:pPr>
              <w:ind w:left="51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B800B6" w:rsidTr="008E64CF">
        <w:trPr>
          <w:trHeight w:val="54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68"/>
              <w:jc w:val="both"/>
            </w:pPr>
            <w:r>
              <w:rPr>
                <w:b/>
                <w:i w:val="0"/>
              </w:rPr>
              <w:t xml:space="preserve">JĘZYK PROWADZENIA </w:t>
            </w:r>
          </w:p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PRZEDMIOTU 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00B6" w:rsidRDefault="008E64CF">
            <w:pPr>
              <w:ind w:left="72"/>
            </w:pPr>
            <w:r>
              <w:rPr>
                <w:i w:val="0"/>
              </w:rPr>
              <w:t xml:space="preserve">polski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53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68"/>
            </w:pPr>
            <w:r>
              <w:rPr>
                <w:b/>
                <w:i w:val="0"/>
              </w:rPr>
              <w:t xml:space="preserve">WYKŁADOWCA </w:t>
            </w:r>
          </w:p>
          <w:p w:rsidR="00B800B6" w:rsidRDefault="008E64CF">
            <w:pPr>
              <w:ind w:left="68"/>
            </w:pPr>
            <w:r>
              <w:rPr>
                <w:i w:val="0"/>
              </w:rPr>
              <w:t xml:space="preserve"> 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0B6" w:rsidRDefault="00B800B6">
            <w:pPr>
              <w:ind w:left="72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53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68"/>
            </w:pPr>
            <w:r>
              <w:rPr>
                <w:b/>
                <w:i w:val="0"/>
              </w:rPr>
              <w:t xml:space="preserve">FORMA ZAJĘĆ </w:t>
            </w:r>
          </w:p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0B6" w:rsidRDefault="008E64CF">
            <w:pPr>
              <w:ind w:left="72"/>
            </w:pPr>
            <w:r>
              <w:rPr>
                <w:i w:val="0"/>
              </w:rPr>
              <w:t xml:space="preserve">ćwiczenia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23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b/>
                <w:i w:val="0"/>
              </w:rPr>
              <w:t xml:space="preserve">CELE PRZEDMIOTU 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800B6" w:rsidRPr="008E64CF" w:rsidRDefault="008E64CF" w:rsidP="008E64CF">
            <w:pPr>
              <w:ind w:left="0"/>
              <w:jc w:val="both"/>
              <w:rPr>
                <w:i w:val="0"/>
              </w:rPr>
            </w:pPr>
            <w:r w:rsidRPr="008E64CF">
              <w:rPr>
                <w:i w:val="0"/>
              </w:rPr>
              <w:t xml:space="preserve">Ukazanie  roli wiedzy </w:t>
            </w:r>
            <w:proofErr w:type="spellStart"/>
            <w:r w:rsidRPr="008E64CF">
              <w:rPr>
                <w:i w:val="0"/>
              </w:rPr>
              <w:t>antykryminalistycznej</w:t>
            </w:r>
            <w:proofErr w:type="spellEnd"/>
            <w:r w:rsidRPr="008E64CF">
              <w:rPr>
                <w:i w:val="0"/>
              </w:rPr>
              <w:t xml:space="preserve"> w kontekście wykorzyst</w:t>
            </w:r>
            <w:r>
              <w:rPr>
                <w:i w:val="0"/>
              </w:rPr>
              <w:t>yw</w:t>
            </w:r>
            <w:r w:rsidRPr="008E64CF">
              <w:rPr>
                <w:i w:val="0"/>
              </w:rPr>
              <w:t xml:space="preserve">ania jej do doskonalenia systemów bezpieczeństwa ukierunkowanych na zwalczanie przestępczości zorganizowanej i terroryzmu.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800B6" w:rsidRDefault="008E64CF" w:rsidP="008E64CF">
            <w:pPr>
              <w:ind w:left="0"/>
              <w:jc w:val="both"/>
            </w:pPr>
            <w:r>
              <w:rPr>
                <w:i w:val="0"/>
              </w:rPr>
              <w:t xml:space="preserve">   </w:t>
            </w:r>
          </w:p>
        </w:tc>
      </w:tr>
      <w:tr w:rsidR="00B800B6" w:rsidTr="008E64CF">
        <w:trPr>
          <w:trHeight w:val="126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 </w:t>
            </w:r>
          </w:p>
        </w:tc>
        <w:tc>
          <w:tcPr>
            <w:tcW w:w="53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00B6" w:rsidRDefault="00B800B6" w:rsidP="008E64CF">
            <w:pPr>
              <w:ind w:left="0"/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00B6" w:rsidRDefault="008E64CF" w:rsidP="008E64CF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</w:tr>
      <w:tr w:rsidR="00B800B6">
        <w:trPr>
          <w:trHeight w:val="29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ind w:left="0" w:right="2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ind w:left="0" w:right="1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ind w:left="8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B800B6" w:rsidTr="008E64CF">
        <w:trPr>
          <w:trHeight w:val="29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ind w:left="0"/>
              <w:jc w:val="center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ind w:left="7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296"/>
        </w:trPr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800B6" w:rsidRDefault="008E64CF">
            <w:pPr>
              <w:ind w:left="1984"/>
              <w:jc w:val="center"/>
            </w:pPr>
            <w:r>
              <w:rPr>
                <w:b/>
                <w:i w:val="0"/>
              </w:rPr>
              <w:t xml:space="preserve">WIEDZA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133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BN2_W01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5"/>
              <w:ind w:left="72"/>
            </w:pPr>
            <w:r>
              <w:rPr>
                <w:i w:val="0"/>
              </w:rPr>
              <w:t xml:space="preserve">P7U_W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5"/>
              <w:jc w:val="both"/>
            </w:pPr>
            <w:r>
              <w:rPr>
                <w:i w:val="0"/>
              </w:rPr>
              <w:t xml:space="preserve"> Student zna w pogłębionym stopniu  i rozumie istotę, uwarunkowania oraz typologię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podejmowanych przez sprawców przestępstw, w tym zorganizowane grupy przestępcze i organizacje terrorystyczne.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 w:rsidTr="008E64CF">
        <w:trPr>
          <w:trHeight w:val="1387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BN2_W04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4"/>
              <w:ind w:left="72"/>
            </w:pPr>
            <w:r>
              <w:rPr>
                <w:i w:val="0"/>
              </w:rPr>
              <w:t xml:space="preserve">P7U_W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8"/>
              <w:jc w:val="both"/>
            </w:pPr>
            <w:r>
              <w:rPr>
                <w:i w:val="0"/>
              </w:rPr>
              <w:t xml:space="preserve"> Student zna w pogłębionym stopniu  i rozumie znaczenie wiedzy </w:t>
            </w:r>
            <w:proofErr w:type="spellStart"/>
            <w:r>
              <w:rPr>
                <w:i w:val="0"/>
              </w:rPr>
              <w:t>antykryminalistycznej</w:t>
            </w:r>
            <w:proofErr w:type="spellEnd"/>
            <w:r>
              <w:rPr>
                <w:i w:val="0"/>
              </w:rPr>
              <w:t xml:space="preserve"> sprawców, w tym wykorzystania nowoczesnych technologii, usług finansowych oraz działań dezinformacyjnych, jako czynników utrudniających wykrywanie przestępstw i osłabiających bezpieczeństwo.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 w:rsidTr="008E64CF">
        <w:trPr>
          <w:trHeight w:val="133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BN2_W06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72"/>
            </w:pPr>
            <w:r>
              <w:rPr>
                <w:i w:val="0"/>
              </w:rPr>
              <w:t xml:space="preserve">P7U_W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7"/>
              <w:jc w:val="both"/>
            </w:pPr>
            <w:r>
              <w:rPr>
                <w:i w:val="0"/>
              </w:rPr>
              <w:t xml:space="preserve">Zna i rozumie w pogłębionym stopniu główne trendy rozwojowe zastosowań wiedzy </w:t>
            </w:r>
            <w:proofErr w:type="spellStart"/>
            <w:r>
              <w:rPr>
                <w:i w:val="0"/>
              </w:rPr>
              <w:t>antykryminalistycznej</w:t>
            </w:r>
            <w:proofErr w:type="spellEnd"/>
            <w:r>
              <w:rPr>
                <w:i w:val="0"/>
              </w:rPr>
              <w:t xml:space="preserve"> w zakresie dyscyplin nauki o bezpieczeństwie oraz  taktyki kryminalistycznej, a także normy i zasady występujące w praktyce zawodowej bezpieczeństwa narodowego.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 w:rsidTr="008E64CF">
        <w:trPr>
          <w:trHeight w:val="295"/>
        </w:trPr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800B6" w:rsidRDefault="008E64CF">
            <w:pPr>
              <w:ind w:left="1983"/>
              <w:jc w:val="center"/>
            </w:pPr>
            <w:r>
              <w:rPr>
                <w:b/>
                <w:i w:val="0"/>
              </w:rPr>
              <w:t xml:space="preserve">UMIEJĘTNOŚCI 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B800B6">
            <w:pPr>
              <w:spacing w:after="160"/>
              <w:ind w:left="0"/>
            </w:pPr>
          </w:p>
        </w:tc>
      </w:tr>
      <w:tr w:rsidR="00B800B6" w:rsidTr="008E64CF">
        <w:trPr>
          <w:trHeight w:val="1067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lastRenderedPageBreak/>
              <w:t xml:space="preserve">BN2_U01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72"/>
            </w:pPr>
            <w:r>
              <w:rPr>
                <w:i w:val="0"/>
              </w:rPr>
              <w:t xml:space="preserve">P7U_U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8"/>
              <w:jc w:val="both"/>
            </w:pPr>
            <w:r>
              <w:rPr>
                <w:i w:val="0"/>
              </w:rPr>
              <w:t xml:space="preserve">Student potrafi analizować modus </w:t>
            </w:r>
            <w:proofErr w:type="spellStart"/>
            <w:r>
              <w:rPr>
                <w:i w:val="0"/>
              </w:rPr>
              <w:t>operandi</w:t>
            </w:r>
            <w:proofErr w:type="spellEnd"/>
            <w:r>
              <w:rPr>
                <w:i w:val="0"/>
              </w:rPr>
              <w:t xml:space="preserve">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stosowanych przez sprawców przestępstw, w szczególności w środowisku cyfrowym oraz w działalności zorganizowanych grup przestępczych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 w:rsidTr="008E64CF">
        <w:trPr>
          <w:trHeight w:val="1066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BN2_U03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72"/>
            </w:pPr>
            <w:r>
              <w:rPr>
                <w:i w:val="0"/>
              </w:rPr>
              <w:t xml:space="preserve">P7U_U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8"/>
              <w:jc w:val="both"/>
            </w:pPr>
            <w:r>
              <w:rPr>
                <w:i w:val="0"/>
              </w:rPr>
              <w:t xml:space="preserve">Student potrafi  interpretować techniki oraz taktyki </w:t>
            </w:r>
            <w:proofErr w:type="spellStart"/>
            <w:r>
              <w:rPr>
                <w:i w:val="0"/>
              </w:rPr>
              <w:t>kontrwykrywcze</w:t>
            </w:r>
            <w:proofErr w:type="spellEnd"/>
            <w:r>
              <w:rPr>
                <w:i w:val="0"/>
              </w:rPr>
              <w:t xml:space="preserve"> wykorzystywane do neutralizacji działań organów ścigania, w tym w cyberprzestrzeni i w działaniach dezinformacyjnych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 w:rsidTr="008E64CF">
        <w:trPr>
          <w:trHeight w:val="929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68"/>
            </w:pPr>
            <w:r>
              <w:rPr>
                <w:i w:val="0"/>
              </w:rPr>
              <w:t xml:space="preserve">BN2_U05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72"/>
            </w:pPr>
            <w:r>
              <w:rPr>
                <w:i w:val="0"/>
              </w:rPr>
              <w:t xml:space="preserve">P7U_U </w:t>
            </w:r>
          </w:p>
          <w:p w:rsidR="00B800B6" w:rsidRDefault="008E64CF">
            <w:pPr>
              <w:ind w:left="72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 w:right="68"/>
              <w:jc w:val="both"/>
            </w:pPr>
            <w:r>
              <w:rPr>
                <w:i w:val="0"/>
              </w:rPr>
              <w:t xml:space="preserve">Student potrafi ocenić wpływ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sprawców na skuteczność czynności operacyjnych i procesowych podejmowanych przez organy odpowiedzialne za bezpieczeństwo.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70"/>
            </w:pPr>
            <w:r>
              <w:rPr>
                <w:i w:val="0"/>
              </w:rPr>
              <w:t xml:space="preserve">Przygotowanie pracy pisemnej </w:t>
            </w:r>
          </w:p>
        </w:tc>
      </w:tr>
    </w:tbl>
    <w:p w:rsidR="00B800B6" w:rsidRDefault="00B800B6">
      <w:pPr>
        <w:ind w:left="-1440" w:right="10466"/>
      </w:pPr>
    </w:p>
    <w:tbl>
      <w:tblPr>
        <w:tblStyle w:val="TableGrid"/>
        <w:tblW w:w="9497" w:type="dxa"/>
        <w:tblInd w:w="-164" w:type="dxa"/>
        <w:tblCellMar>
          <w:top w:w="5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1984"/>
        <w:gridCol w:w="1133"/>
        <w:gridCol w:w="4394"/>
        <w:gridCol w:w="1986"/>
      </w:tblGrid>
      <w:tr w:rsidR="00B800B6">
        <w:trPr>
          <w:trHeight w:val="537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0B6" w:rsidRDefault="008E64CF">
            <w:pPr>
              <w:spacing w:after="17"/>
              <w:ind w:left="0" w:right="50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  <w:p w:rsidR="00B800B6" w:rsidRDefault="008E64CF">
            <w:pPr>
              <w:ind w:left="0" w:right="3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B800B6">
        <w:trPr>
          <w:trHeight w:val="80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0"/>
            </w:pPr>
            <w:r>
              <w:rPr>
                <w:i w:val="0"/>
              </w:rPr>
              <w:t xml:space="preserve">BN2_K06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4"/>
            </w:pPr>
            <w:r>
              <w:rPr>
                <w:i w:val="0"/>
              </w:rPr>
              <w:t xml:space="preserve">P7U_K </w:t>
            </w:r>
          </w:p>
          <w:p w:rsidR="00B800B6" w:rsidRDefault="008E64CF">
            <w:pPr>
              <w:ind w:left="4"/>
            </w:pPr>
            <w:r>
              <w:rPr>
                <w:i w:val="0"/>
              </w:rPr>
              <w:t xml:space="preserve">P7S_KR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4" w:right="50"/>
              <w:jc w:val="both"/>
            </w:pPr>
            <w:r>
              <w:rPr>
                <w:i w:val="0"/>
              </w:rPr>
              <w:t xml:space="preserve">Jest gotów przestrzegać i rozwijać zasady etyki zawodowej w powiązaniu z realizowanymi zadaniami i działalnością na rzecz bezpieczeństwa.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4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>
        <w:trPr>
          <w:trHeight w:val="11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4"/>
            </w:pPr>
            <w:r>
              <w:rPr>
                <w:i w:val="0"/>
              </w:rPr>
              <w:t xml:space="preserve">P7U_K </w:t>
            </w:r>
          </w:p>
          <w:p w:rsidR="00B800B6" w:rsidRDefault="008E64CF">
            <w:pPr>
              <w:ind w:left="4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4" w:right="47"/>
              <w:jc w:val="both"/>
            </w:pPr>
            <w:r>
              <w:rPr>
                <w:i w:val="0"/>
              </w:rPr>
              <w:t xml:space="preserve">Jest gotów do uznawania znaczenia wiedzy </w:t>
            </w:r>
            <w:proofErr w:type="spellStart"/>
            <w:r>
              <w:rPr>
                <w:i w:val="0"/>
              </w:rPr>
              <w:t>antykryminalistycznej</w:t>
            </w:r>
            <w:proofErr w:type="spellEnd"/>
            <w:r>
              <w:rPr>
                <w:i w:val="0"/>
              </w:rPr>
              <w:t xml:space="preserve"> w rozwiązywaniu problemów praktycznych i poznawczych dotyczących bezpieczeństwa narodowego oraz w przypadku trudności zasięgania opinii ekspertów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4"/>
            </w:pPr>
            <w:r>
              <w:rPr>
                <w:i w:val="0"/>
              </w:rPr>
              <w:t xml:space="preserve">Przygotowanie pracy pisemnej </w:t>
            </w:r>
          </w:p>
        </w:tc>
      </w:tr>
      <w:tr w:rsidR="00B800B6">
        <w:trPr>
          <w:trHeight w:val="538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B800B6">
        <w:trPr>
          <w:trHeight w:val="3478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 w:rsidP="000C114E">
            <w:pPr>
              <w:ind w:left="0"/>
            </w:pP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2966796</wp:posOffset>
                      </wp:positionH>
                      <wp:positionV relativeFrom="paragraph">
                        <wp:posOffset>-26654</wp:posOffset>
                      </wp:positionV>
                      <wp:extent cx="6401" cy="2202434"/>
                      <wp:effectExtent l="0" t="0" r="0" b="0"/>
                      <wp:wrapSquare wrapText="bothSides"/>
                      <wp:docPr id="9958" name="Group 9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1" cy="2202434"/>
                                <a:chOff x="0" y="0"/>
                                <a:chExt cx="6401" cy="2202434"/>
                              </a:xfrm>
                            </wpg:grpSpPr>
                            <wps:wsp>
                              <wps:cNvPr id="11876" name="Shape 11876"/>
                              <wps:cNvSpPr/>
                              <wps:spPr>
                                <a:xfrm>
                                  <a:off x="0" y="0"/>
                                  <a:ext cx="9144" cy="220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24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2434"/>
                                      </a:lnTo>
                                      <a:lnTo>
                                        <a:pt x="0" y="22024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958" style="width:0.504028pt;height:173.42pt;position:absolute;mso-position-horizontal-relative:text;mso-position-horizontal:absolute;margin-left:233.606pt;mso-position-vertical-relative:text;margin-top:-2.09882pt;" coordsize="64,22024">
                      <v:shape id="Shape 11877" style="position:absolute;width:91;height:22024;left:0;top:0;" coordsize="9144,2202434" path="m0,0l9144,0l9144,2202434l0,220243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Stacjonarne </w:t>
            </w:r>
            <w:r w:rsidR="000C114E">
              <w:rPr>
                <w:b/>
                <w:i w:val="0"/>
              </w:rPr>
              <w:t xml:space="preserve">                                                </w:t>
            </w:r>
            <w:r>
              <w:rPr>
                <w:b/>
                <w:i w:val="0"/>
              </w:rPr>
              <w:t xml:space="preserve">Niestacjonarne </w:t>
            </w:r>
          </w:p>
          <w:p w:rsidR="000C114E" w:rsidRDefault="008E64CF" w:rsidP="000C114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  <w:r w:rsidR="000C114E">
              <w:rPr>
                <w:i w:val="0"/>
              </w:rPr>
              <w:t xml:space="preserve">                                                     </w:t>
            </w:r>
            <w:r>
              <w:rPr>
                <w:i w:val="0"/>
              </w:rPr>
              <w:t xml:space="preserve">udział w wykładach =  </w:t>
            </w:r>
          </w:p>
          <w:p w:rsidR="000C114E" w:rsidRDefault="008E64CF" w:rsidP="000C114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  <w:r w:rsidR="000C114E">
              <w:rPr>
                <w:i w:val="0"/>
              </w:rPr>
              <w:t xml:space="preserve">                                                 </w:t>
            </w:r>
            <w:r>
              <w:rPr>
                <w:i w:val="0"/>
              </w:rPr>
              <w:t xml:space="preserve">udział w ćwiczeniach = 18 h </w:t>
            </w:r>
          </w:p>
          <w:p w:rsidR="000C114E" w:rsidRDefault="008E64CF" w:rsidP="000C114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  <w:r w:rsidR="000C114E">
              <w:rPr>
                <w:i w:val="0"/>
              </w:rPr>
              <w:t xml:space="preserve">                              </w:t>
            </w:r>
            <w:r>
              <w:rPr>
                <w:i w:val="0"/>
              </w:rPr>
              <w:t xml:space="preserve">przygotowanie do ćwiczeń = 30 h </w:t>
            </w:r>
            <w:r w:rsidR="000C114E">
              <w:rPr>
                <w:i w:val="0"/>
              </w:rPr>
              <w:t xml:space="preserve"> </w:t>
            </w:r>
          </w:p>
          <w:p w:rsidR="000C114E" w:rsidRDefault="008E64CF" w:rsidP="000C114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  <w:r w:rsidR="000C114E">
              <w:rPr>
                <w:i w:val="0"/>
              </w:rPr>
              <w:t xml:space="preserve">                             </w:t>
            </w:r>
            <w:r>
              <w:rPr>
                <w:i w:val="0"/>
              </w:rPr>
              <w:t xml:space="preserve">przygotowanie do wykładu =  </w:t>
            </w:r>
          </w:p>
          <w:p w:rsidR="00B800B6" w:rsidRPr="000C114E" w:rsidRDefault="008E64CF" w:rsidP="000C114E">
            <w:pPr>
              <w:spacing w:line="258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  <w:r w:rsidR="000C114E">
              <w:rPr>
                <w:i w:val="0"/>
              </w:rPr>
              <w:t xml:space="preserve">                           </w:t>
            </w:r>
            <w:r>
              <w:rPr>
                <w:i w:val="0"/>
              </w:rPr>
              <w:t xml:space="preserve">przygotowanie do egzaminu = 25h </w:t>
            </w:r>
          </w:p>
          <w:p w:rsidR="00B800B6" w:rsidRDefault="008E64CF" w:rsidP="000C114E">
            <w:pPr>
              <w:ind w:left="0"/>
            </w:pPr>
            <w:r>
              <w:rPr>
                <w:i w:val="0"/>
              </w:rPr>
              <w:t xml:space="preserve">realizacja zadań projektowych = </w:t>
            </w:r>
            <w:r w:rsidR="000C114E">
              <w:rPr>
                <w:i w:val="0"/>
              </w:rPr>
              <w:t xml:space="preserve">                               </w:t>
            </w:r>
            <w:r>
              <w:rPr>
                <w:i w:val="0"/>
              </w:rPr>
              <w:t xml:space="preserve">realizacja zadań projektowych = </w:t>
            </w:r>
          </w:p>
          <w:p w:rsidR="00B800B6" w:rsidRDefault="008E64CF" w:rsidP="000C114E">
            <w:pPr>
              <w:ind w:left="0"/>
            </w:pPr>
            <w:r>
              <w:rPr>
                <w:i w:val="0"/>
              </w:rPr>
              <w:t xml:space="preserve">konsultacje=  </w:t>
            </w:r>
            <w:r w:rsidR="000C114E">
              <w:rPr>
                <w:i w:val="0"/>
              </w:rPr>
              <w:t xml:space="preserve">                                                     </w:t>
            </w:r>
            <w:r>
              <w:rPr>
                <w:i w:val="0"/>
              </w:rPr>
              <w:t xml:space="preserve">konsultacje= 2 h </w:t>
            </w:r>
          </w:p>
          <w:p w:rsidR="00B800B6" w:rsidRDefault="008E64CF" w:rsidP="000C114E">
            <w:pPr>
              <w:ind w:left="0"/>
            </w:pPr>
            <w:r>
              <w:rPr>
                <w:i w:val="0"/>
              </w:rPr>
              <w:t xml:space="preserve">e-learning = </w:t>
            </w:r>
            <w:r w:rsidR="000C114E">
              <w:rPr>
                <w:i w:val="0"/>
              </w:rPr>
              <w:t xml:space="preserve">                                                                             </w:t>
            </w:r>
            <w:r>
              <w:rPr>
                <w:i w:val="0"/>
              </w:rPr>
              <w:t xml:space="preserve">e-learning = </w:t>
            </w:r>
          </w:p>
          <w:p w:rsidR="00B800B6" w:rsidRDefault="008E64CF" w:rsidP="000C114E">
            <w:pPr>
              <w:ind w:left="0"/>
            </w:pPr>
            <w:r>
              <w:rPr>
                <w:i w:val="0"/>
              </w:rPr>
              <w:t xml:space="preserve">zaliczenie/egzamin =  </w:t>
            </w:r>
            <w:r w:rsidR="000C114E">
              <w:rPr>
                <w:i w:val="0"/>
              </w:rPr>
              <w:t xml:space="preserve">                                  </w:t>
            </w:r>
            <w:r>
              <w:rPr>
                <w:i w:val="0"/>
              </w:rPr>
              <w:t xml:space="preserve">zaliczenie/egzamin =  </w:t>
            </w:r>
          </w:p>
          <w:p w:rsidR="00B800B6" w:rsidRDefault="008E64CF" w:rsidP="000C114E">
            <w:pPr>
              <w:ind w:left="0"/>
            </w:pPr>
            <w:r>
              <w:rPr>
                <w:i w:val="0"/>
              </w:rPr>
              <w:t xml:space="preserve">inne  (określ jakie) =  </w:t>
            </w:r>
            <w:r w:rsidR="000C114E">
              <w:rPr>
                <w:i w:val="0"/>
              </w:rPr>
              <w:t xml:space="preserve">                                                </w:t>
            </w:r>
            <w:r>
              <w:rPr>
                <w:i w:val="0"/>
              </w:rPr>
              <w:t xml:space="preserve">inne  (określ jakie) =  </w:t>
            </w:r>
          </w:p>
          <w:p w:rsidR="00B800B6" w:rsidRDefault="008E64CF" w:rsidP="000C114E">
            <w:pPr>
              <w:ind w:left="0"/>
            </w:pPr>
            <w:r>
              <w:rPr>
                <w:b/>
                <w:i w:val="0"/>
              </w:rPr>
              <w:t xml:space="preserve">RAZEM: </w:t>
            </w:r>
            <w:r w:rsidR="000C114E">
              <w:rPr>
                <w:b/>
                <w:i w:val="0"/>
              </w:rPr>
              <w:t xml:space="preserve">                                                              </w:t>
            </w:r>
            <w:r>
              <w:rPr>
                <w:b/>
                <w:i w:val="0"/>
              </w:rPr>
              <w:t xml:space="preserve"> RAZEM: 75 </w:t>
            </w:r>
          </w:p>
          <w:p w:rsidR="00B800B6" w:rsidRDefault="008E64CF" w:rsidP="000C114E">
            <w:pPr>
              <w:spacing w:after="15"/>
              <w:ind w:left="0"/>
            </w:pPr>
            <w:r>
              <w:rPr>
                <w:b/>
                <w:i w:val="0"/>
              </w:rPr>
              <w:t xml:space="preserve">Liczba punktów  ECTS:  </w:t>
            </w:r>
            <w:r w:rsidR="000C114E">
              <w:rPr>
                <w:b/>
                <w:i w:val="0"/>
              </w:rPr>
              <w:t xml:space="preserve">                                                </w:t>
            </w:r>
            <w:r>
              <w:rPr>
                <w:b/>
                <w:i w:val="0"/>
              </w:rPr>
              <w:t xml:space="preserve">Liczba punktów  ECTS: 2 </w:t>
            </w:r>
          </w:p>
          <w:p w:rsidR="00B800B6" w:rsidRDefault="008E64CF">
            <w:pPr>
              <w:tabs>
                <w:tab w:val="center" w:pos="1430"/>
                <w:tab w:val="center" w:pos="5610"/>
              </w:tabs>
              <w:ind w:left="0"/>
            </w:pPr>
            <w:r>
              <w:rPr>
                <w:rFonts w:ascii="Calibri" w:eastAsia="Calibri" w:hAnsi="Calibri" w:cs="Calibri"/>
                <w:i w:val="0"/>
                <w:sz w:val="22"/>
              </w:rPr>
              <w:tab/>
            </w:r>
            <w:r>
              <w:rPr>
                <w:b/>
                <w:i w:val="0"/>
              </w:rPr>
              <w:t>w tym w ramach zajęć praktycznych:</w:t>
            </w:r>
            <w:r w:rsidR="000C114E">
              <w:rPr>
                <w:b/>
                <w:i w:val="0"/>
              </w:rPr>
              <w:t xml:space="preserve">      \</w:t>
            </w:r>
            <w:bookmarkStart w:id="0" w:name="_GoBack"/>
            <w:bookmarkEnd w:id="0"/>
            <w:r w:rsidR="000C114E">
              <w:rPr>
                <w:b/>
                <w:i w:val="0"/>
              </w:rPr>
              <w:t xml:space="preserve">                           </w:t>
            </w:r>
            <w:r>
              <w:rPr>
                <w:b/>
                <w:i w:val="0"/>
              </w:rPr>
              <w:t xml:space="preserve">w tym w ramach zajęć praktycznych: 2 </w:t>
            </w:r>
          </w:p>
        </w:tc>
      </w:tr>
      <w:tr w:rsidR="00B800B6">
        <w:trPr>
          <w:trHeight w:val="53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WSTĘPNE </w:t>
            </w:r>
          </w:p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4"/>
            </w:pPr>
            <w:r>
              <w:rPr>
                <w:i w:val="0"/>
              </w:rPr>
              <w:t xml:space="preserve">zaliczenie przedmiotu: </w:t>
            </w:r>
            <w:r>
              <w:rPr>
                <w:b/>
              </w:rPr>
              <w:t>Identyfikacja kryminalistyczna pośrednia i bezpośrednia.</w:t>
            </w:r>
            <w:r>
              <w:rPr>
                <w:i w:val="0"/>
              </w:rPr>
              <w:t xml:space="preserve"> </w:t>
            </w:r>
          </w:p>
        </w:tc>
      </w:tr>
      <w:tr w:rsidR="00B800B6">
        <w:trPr>
          <w:trHeight w:val="555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4"/>
              <w:ind w:left="0"/>
            </w:pPr>
            <w:r>
              <w:rPr>
                <w:b/>
                <w:i w:val="0"/>
              </w:rPr>
              <w:lastRenderedPageBreak/>
              <w:t xml:space="preserve">TREŚCI PRZEDMIOTU </w:t>
            </w:r>
          </w:p>
          <w:p w:rsidR="00B800B6" w:rsidRDefault="008E64CF">
            <w:pPr>
              <w:spacing w:line="277" w:lineRule="auto"/>
              <w:ind w:left="0" w:right="136"/>
            </w:pPr>
            <w:r>
              <w:rPr>
                <w:b/>
                <w:i w:val="0"/>
              </w:rPr>
              <w:t>(</w:t>
            </w:r>
            <w:r>
              <w:rPr>
                <w:i w:val="0"/>
              </w:rPr>
              <w:t xml:space="preserve">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52"/>
              <w:ind w:left="160"/>
            </w:pPr>
            <w:r>
              <w:rPr>
                <w:i w:val="0"/>
              </w:rPr>
              <w:t xml:space="preserve">Treści realizowane w formie bezpośredniej: 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Działania </w:t>
            </w:r>
            <w:proofErr w:type="spellStart"/>
            <w:r>
              <w:rPr>
                <w:i w:val="0"/>
              </w:rPr>
              <w:t>kontrwykrywcze</w:t>
            </w:r>
            <w:proofErr w:type="spellEnd"/>
            <w:r>
              <w:rPr>
                <w:i w:val="0"/>
              </w:rPr>
              <w:t xml:space="preserve"> z perspektywy nauk o bezpieczeństwie oraz kryminalistyki.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Kryminalistyczna charakterystyka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Typologia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Wiedza </w:t>
            </w:r>
            <w:proofErr w:type="spellStart"/>
            <w:r>
              <w:rPr>
                <w:i w:val="0"/>
              </w:rPr>
              <w:t>antykryminalistyczna</w:t>
            </w:r>
            <w:proofErr w:type="spellEnd"/>
            <w:r>
              <w:rPr>
                <w:i w:val="0"/>
              </w:rPr>
              <w:t xml:space="preserve"> sprawców przestępstw  jako czynnik osłabiający bezpieczeństwo.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Modus </w:t>
            </w:r>
            <w:proofErr w:type="spellStart"/>
            <w:r>
              <w:rPr>
                <w:i w:val="0"/>
              </w:rPr>
              <w:t>operandi</w:t>
            </w:r>
            <w:proofErr w:type="spellEnd"/>
            <w:r>
              <w:rPr>
                <w:i w:val="0"/>
              </w:rPr>
              <w:t xml:space="preserve">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z wykorzystaniem nowoczesnych technologii.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9"/>
              <w:ind w:left="437" w:hanging="361"/>
            </w:pPr>
            <w:r>
              <w:rPr>
                <w:i w:val="0"/>
              </w:rPr>
              <w:t xml:space="preserve">Technika i taktyka </w:t>
            </w:r>
            <w:proofErr w:type="spellStart"/>
            <w:r>
              <w:rPr>
                <w:i w:val="0"/>
              </w:rPr>
              <w:t>kontrwykrywcza</w:t>
            </w:r>
            <w:proofErr w:type="spellEnd"/>
            <w:r>
              <w:rPr>
                <w:i w:val="0"/>
              </w:rPr>
              <w:t xml:space="preserve"> cyberprzestępstw.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37" w:line="277" w:lineRule="auto"/>
              <w:ind w:left="437" w:hanging="361"/>
            </w:pPr>
            <w:r>
              <w:rPr>
                <w:i w:val="0"/>
              </w:rPr>
              <w:t xml:space="preserve">Nowe technologie w procederach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– działania dezinformacyjne grup przestępczych w sieciach społecznościowych.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8"/>
              <w:ind w:left="437" w:hanging="361"/>
            </w:pPr>
            <w:r>
              <w:rPr>
                <w:i w:val="0"/>
              </w:rPr>
              <w:t xml:space="preserve">Problematyka inwigilacji odwrotnej.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9"/>
              <w:ind w:left="437" w:hanging="361"/>
            </w:pPr>
            <w:r>
              <w:rPr>
                <w:i w:val="0"/>
              </w:rPr>
              <w:t xml:space="preserve">Działania </w:t>
            </w:r>
            <w:proofErr w:type="spellStart"/>
            <w:r>
              <w:rPr>
                <w:i w:val="0"/>
              </w:rPr>
              <w:t>kontrwykrywcze</w:t>
            </w:r>
            <w:proofErr w:type="spellEnd"/>
            <w:r>
              <w:rPr>
                <w:i w:val="0"/>
              </w:rPr>
              <w:t xml:space="preserve"> funkcjonariuszy powiązanych z przestępczością zorganizowaną.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37" w:line="278" w:lineRule="auto"/>
              <w:ind w:left="437" w:hanging="361"/>
            </w:pPr>
            <w:r>
              <w:rPr>
                <w:i w:val="0"/>
              </w:rPr>
              <w:t xml:space="preserve">Czynności </w:t>
            </w:r>
            <w:proofErr w:type="spellStart"/>
            <w:r>
              <w:rPr>
                <w:i w:val="0"/>
              </w:rPr>
              <w:t>kontrwykrywcze</w:t>
            </w:r>
            <w:proofErr w:type="spellEnd"/>
            <w:r>
              <w:rPr>
                <w:i w:val="0"/>
              </w:rPr>
              <w:t xml:space="preserve"> podejmowane przez zorganizowane grupy przestępcze z wykorzystaniem zawodowych pełnomocników.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7"/>
              <w:ind w:left="437" w:hanging="361"/>
            </w:pPr>
            <w:r>
              <w:rPr>
                <w:i w:val="0"/>
              </w:rPr>
              <w:t xml:space="preserve">Usługi finansowe wykorzystywane w ramach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38" w:line="277" w:lineRule="auto"/>
              <w:ind w:left="437" w:hanging="361"/>
            </w:pPr>
            <w:r>
              <w:rPr>
                <w:i w:val="0"/>
              </w:rPr>
              <w:t xml:space="preserve">Wykorzystywanie osób na eksponowanych stanowiskach politycznych do celów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przez zorganizowane grupy przestępcze i organizacje terrorystyczne.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6"/>
              <w:ind w:left="437" w:hanging="361"/>
            </w:pPr>
            <w:r>
              <w:rPr>
                <w:i w:val="0"/>
              </w:rPr>
              <w:t xml:space="preserve">Neutralizacja policyjnych działań operacyjnych przez zorganizowane grupy przestępcze.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56"/>
              <w:ind w:left="437" w:hanging="361"/>
            </w:pPr>
            <w:r>
              <w:rPr>
                <w:i w:val="0"/>
              </w:rPr>
              <w:t xml:space="preserve">Wykrywanie tajnych agentów policyjnych w zorganizowanych grupach przestępczych. </w:t>
            </w:r>
          </w:p>
          <w:p w:rsidR="00B800B6" w:rsidRDefault="008E64CF">
            <w:pPr>
              <w:numPr>
                <w:ilvl w:val="0"/>
                <w:numId w:val="1"/>
              </w:numPr>
              <w:spacing w:after="18"/>
              <w:ind w:left="437" w:hanging="361"/>
            </w:pPr>
            <w:r>
              <w:rPr>
                <w:i w:val="0"/>
              </w:rPr>
              <w:t xml:space="preserve">Metody działań </w:t>
            </w:r>
            <w:proofErr w:type="spellStart"/>
            <w:r>
              <w:rPr>
                <w:i w:val="0"/>
              </w:rPr>
              <w:t>kontrwykrywczych</w:t>
            </w:r>
            <w:proofErr w:type="spellEnd"/>
            <w:r>
              <w:rPr>
                <w:i w:val="0"/>
              </w:rPr>
              <w:t xml:space="preserve"> stosowane przez sprawców przestępstw korupcyjnych. </w:t>
            </w:r>
          </w:p>
          <w:p w:rsidR="00B800B6" w:rsidRDefault="008E64CF">
            <w:pPr>
              <w:spacing w:after="17"/>
              <w:ind w:left="160"/>
            </w:pPr>
            <w:r>
              <w:rPr>
                <w:i w:val="0"/>
              </w:rPr>
              <w:t xml:space="preserve"> </w:t>
            </w:r>
          </w:p>
          <w:p w:rsidR="00B800B6" w:rsidRDefault="008E64CF">
            <w:pPr>
              <w:ind w:left="160"/>
            </w:pPr>
            <w:r>
              <w:rPr>
                <w:i w:val="0"/>
              </w:rPr>
              <w:t xml:space="preserve">Treści realizowane w formie e-learning: - </w:t>
            </w:r>
          </w:p>
        </w:tc>
      </w:tr>
      <w:tr w:rsidR="00B800B6">
        <w:trPr>
          <w:trHeight w:val="13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1074" w:right="47" w:hanging="710"/>
              <w:jc w:val="both"/>
            </w:pPr>
            <w:r>
              <w:rPr>
                <w:i w:val="0"/>
              </w:rPr>
              <w:t xml:space="preserve">1. </w:t>
            </w:r>
            <w:proofErr w:type="spellStart"/>
            <w:r>
              <w:t>Antykryminalistyka</w:t>
            </w:r>
            <w:proofErr w:type="spellEnd"/>
            <w:r>
              <w:t xml:space="preserve">. Taktyka i technika działań </w:t>
            </w:r>
            <w:proofErr w:type="spellStart"/>
            <w:r>
              <w:t>kontrwykrywczych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 Warszawa 2022, (red. 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P. </w:t>
            </w:r>
            <w:proofErr w:type="spellStart"/>
            <w:r>
              <w:rPr>
                <w:i w:val="0"/>
              </w:rPr>
              <w:t>Chlebowicz</w:t>
            </w:r>
            <w:proofErr w:type="spellEnd"/>
            <w:r>
              <w:rPr>
                <w:i w:val="0"/>
              </w:rPr>
              <w:t xml:space="preserve">, P. Łabuz) – monografia wyróżniona w ramach XXIV Edycja Konkursu Konkurs Polskiego Towarzystwa Kryminalistycznego im. Prof. Tadeusza </w:t>
            </w:r>
            <w:proofErr w:type="spellStart"/>
            <w:r>
              <w:rPr>
                <w:i w:val="0"/>
              </w:rPr>
              <w:t>Hanauska</w:t>
            </w:r>
            <w:proofErr w:type="spellEnd"/>
            <w:r>
              <w:rPr>
                <w:i w:val="0"/>
              </w:rPr>
              <w:t xml:space="preserve"> Na Pracę Roku z Dziedziny Kryminalistyki (Warszawa, listopad 2023). </w:t>
            </w:r>
          </w:p>
        </w:tc>
      </w:tr>
      <w:tr w:rsidR="00B800B6">
        <w:trPr>
          <w:trHeight w:val="18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B800B6">
            <w:pPr>
              <w:spacing w:after="160"/>
              <w:ind w:left="0"/>
            </w:pP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1073" w:right="45" w:hanging="710"/>
              <w:jc w:val="both"/>
            </w:pPr>
            <w:r>
              <w:rPr>
                <w:i w:val="0"/>
              </w:rPr>
              <w:t xml:space="preserve">2. </w:t>
            </w:r>
            <w:r>
              <w:t xml:space="preserve">Działania </w:t>
            </w:r>
            <w:proofErr w:type="spellStart"/>
            <w:r>
              <w:t>kontrwykrywcze</w:t>
            </w:r>
            <w:proofErr w:type="spellEnd"/>
            <w:r>
              <w:t xml:space="preserve"> zorganizowanych grup przestępczych i organizacji terrorystycznych</w:t>
            </w:r>
            <w:r>
              <w:rPr>
                <w:i w:val="0"/>
              </w:rPr>
              <w:t xml:space="preserve">, CH Beck Warszawa 2021, (red. 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P. </w:t>
            </w:r>
            <w:proofErr w:type="spellStart"/>
            <w:r>
              <w:rPr>
                <w:i w:val="0"/>
              </w:rPr>
              <w:t>Chlebowicz</w:t>
            </w:r>
            <w:proofErr w:type="spellEnd"/>
            <w:r>
              <w:rPr>
                <w:i w:val="0"/>
              </w:rPr>
              <w:t xml:space="preserve">, P. Łabuz) – monografia wyróżniona przez autorów raportu z badań Polskie Studia Wywiadowcze. Stan i perspektywy badań jako szczególnie wartościowy element doktryny  prezentująca  nowe perspektywy i zapełniający luki, jak również wykładnie nowych, specyficznych instytucji prawnych poszerzających instrumentarium służb wywiadowczych (Kraków, luty 2024). </w:t>
            </w:r>
          </w:p>
        </w:tc>
      </w:tr>
      <w:tr w:rsidR="00B800B6">
        <w:trPr>
          <w:trHeight w:val="317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4"/>
              <w:ind w:left="0"/>
            </w:pPr>
            <w:r>
              <w:rPr>
                <w:b/>
                <w:i w:val="0"/>
              </w:rPr>
              <w:lastRenderedPageBreak/>
              <w:t xml:space="preserve">LITERATURA 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B800B6" w:rsidRDefault="008E64CF">
            <w:pPr>
              <w:ind w:left="0"/>
            </w:pPr>
            <w:r>
              <w:rPr>
                <w:i w:val="0"/>
              </w:rPr>
              <w:t xml:space="preserve">(w tym min. 2 pozycje w języku angielskim; publikacje książkowe lub artykuły)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numPr>
                <w:ilvl w:val="0"/>
                <w:numId w:val="2"/>
              </w:numPr>
              <w:spacing w:after="2" w:line="274" w:lineRule="auto"/>
              <w:ind w:right="46"/>
              <w:jc w:val="both"/>
            </w:pPr>
            <w:r>
              <w:t>Ustawa o działaniach antyterrorystycznych. Komentarz.</w:t>
            </w:r>
            <w:r>
              <w:rPr>
                <w:i w:val="0"/>
              </w:rPr>
              <w:t xml:space="preserve"> CH BECK, Warszawa 2019, 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W. Zubrzycki, P. Łabuz). </w:t>
            </w:r>
          </w:p>
          <w:p w:rsidR="00B800B6" w:rsidRDefault="008E64CF">
            <w:pPr>
              <w:numPr>
                <w:ilvl w:val="0"/>
                <w:numId w:val="2"/>
              </w:numPr>
              <w:spacing w:after="1" w:line="277" w:lineRule="auto"/>
              <w:ind w:right="46"/>
              <w:jc w:val="both"/>
            </w:pPr>
            <w:r>
              <w:t>Czynności operacyjno-rozpoznawcze polskich służb ochrony prawa w prawie krajowym i międzynarodowym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 Warszawa 2022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J. Kudła, P. Łabuz) – monografia wyróżniona w ramach XXIV Edycja Konkursu Konkurs Polskiego Towarzystwa Kryminalistycznego im. Prof. Tadeusza </w:t>
            </w:r>
            <w:proofErr w:type="spellStart"/>
            <w:r>
              <w:rPr>
                <w:i w:val="0"/>
              </w:rPr>
              <w:t>Hanauska</w:t>
            </w:r>
            <w:proofErr w:type="spellEnd"/>
            <w:r>
              <w:rPr>
                <w:i w:val="0"/>
              </w:rPr>
              <w:t xml:space="preserve"> Na Pracę Roku z Dziedziny Kryminalistyki (Warszawa, listopad 2023). </w:t>
            </w:r>
          </w:p>
          <w:p w:rsidR="00B800B6" w:rsidRDefault="008E64CF">
            <w:pPr>
              <w:numPr>
                <w:ilvl w:val="0"/>
                <w:numId w:val="2"/>
              </w:numPr>
              <w:spacing w:line="277" w:lineRule="auto"/>
              <w:ind w:right="46"/>
              <w:jc w:val="both"/>
            </w:pPr>
            <w:proofErr w:type="spellStart"/>
            <w:r>
              <w:t>Europol’s</w:t>
            </w:r>
            <w:proofErr w:type="spellEnd"/>
            <w:r>
              <w:t xml:space="preserve"> </w:t>
            </w:r>
            <w:proofErr w:type="spellStart"/>
            <w:r>
              <w:t>Crime</w:t>
            </w:r>
            <w:proofErr w:type="spellEnd"/>
            <w:r>
              <w:t xml:space="preserve"> Analysis System—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Determinants</w:t>
            </w:r>
            <w:proofErr w:type="spellEnd"/>
            <w:r>
              <w:t xml:space="preserve"> of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  <w:r>
              <w:rPr>
                <w:i w:val="0"/>
              </w:rPr>
              <w:t xml:space="preserve">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A. James), </w:t>
            </w:r>
            <w:proofErr w:type="spellStart"/>
            <w:r>
              <w:rPr>
                <w:i w:val="0"/>
              </w:rPr>
              <w:t>Policing</w:t>
            </w:r>
            <w:proofErr w:type="spellEnd"/>
            <w:r>
              <w:rPr>
                <w:i w:val="0"/>
              </w:rPr>
              <w:t xml:space="preserve">: A </w:t>
            </w:r>
            <w:proofErr w:type="spellStart"/>
            <w:r>
              <w:rPr>
                <w:i w:val="0"/>
              </w:rPr>
              <w:t>Journal</w:t>
            </w:r>
            <w:proofErr w:type="spellEnd"/>
            <w:r>
              <w:rPr>
                <w:i w:val="0"/>
              </w:rPr>
              <w:t xml:space="preserve"> of Policy and </w:t>
            </w:r>
            <w:proofErr w:type="spellStart"/>
            <w:r>
              <w:rPr>
                <w:i w:val="0"/>
              </w:rPr>
              <w:t>Practice</w:t>
            </w:r>
            <w:proofErr w:type="spellEnd"/>
            <w:r>
              <w:rPr>
                <w:i w:val="0"/>
              </w:rPr>
              <w:t xml:space="preserve">, Oxford </w:t>
            </w:r>
            <w:proofErr w:type="spellStart"/>
            <w:r>
              <w:rPr>
                <w:i w:val="0"/>
              </w:rPr>
              <w:t>Univesrsity</w:t>
            </w:r>
            <w:proofErr w:type="spellEnd"/>
            <w:r>
              <w:rPr>
                <w:i w:val="0"/>
              </w:rPr>
              <w:t xml:space="preserve">, Volume 12 </w:t>
            </w:r>
            <w:proofErr w:type="spellStart"/>
            <w:r>
              <w:rPr>
                <w:i w:val="0"/>
              </w:rPr>
              <w:t>Issue</w:t>
            </w:r>
            <w:proofErr w:type="spellEnd"/>
            <w:r>
              <w:rPr>
                <w:i w:val="0"/>
              </w:rPr>
              <w:t xml:space="preserve"> 2 </w:t>
            </w:r>
            <w:proofErr w:type="spellStart"/>
            <w:r>
              <w:rPr>
                <w:i w:val="0"/>
              </w:rPr>
              <w:t>Published</w:t>
            </w:r>
            <w:proofErr w:type="spellEnd"/>
            <w:r>
              <w:rPr>
                <w:i w:val="0"/>
              </w:rPr>
              <w:t xml:space="preserve">: 11 </w:t>
            </w:r>
            <w:proofErr w:type="spellStart"/>
            <w:r>
              <w:rPr>
                <w:i w:val="0"/>
              </w:rPr>
              <w:t>April</w:t>
            </w:r>
            <w:proofErr w:type="spellEnd"/>
            <w:r>
              <w:rPr>
                <w:i w:val="0"/>
              </w:rPr>
              <w:t xml:space="preserve"> 2018. </w:t>
            </w:r>
          </w:p>
          <w:p w:rsidR="00B800B6" w:rsidRDefault="008E64CF">
            <w:pPr>
              <w:spacing w:line="277" w:lineRule="auto"/>
              <w:ind w:left="2"/>
              <w:jc w:val="both"/>
            </w:pPr>
            <w:r>
              <w:rPr>
                <w:i w:val="0"/>
              </w:rPr>
              <w:t>4.</w:t>
            </w:r>
            <w:r>
              <w:t xml:space="preserve">Criminal </w:t>
            </w:r>
            <w:proofErr w:type="spellStart"/>
            <w:r>
              <w:t>Investigation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Principles</w:t>
            </w:r>
            <w:proofErr w:type="spellEnd"/>
            <w:r>
              <w:t xml:space="preserve"> and </w:t>
            </w:r>
            <w:proofErr w:type="spellStart"/>
            <w:r>
              <w:t>Practice</w:t>
            </w:r>
            <w:proofErr w:type="spellEnd"/>
            <w:r>
              <w:rPr>
                <w:i w:val="0"/>
              </w:rPr>
              <w:t xml:space="preserve"> (P. </w:t>
            </w:r>
            <w:proofErr w:type="spellStart"/>
            <w:r>
              <w:rPr>
                <w:i w:val="0"/>
              </w:rPr>
              <w:t>Stelfox</w:t>
            </w:r>
            <w:proofErr w:type="spellEnd"/>
            <w:r>
              <w:rPr>
                <w:i w:val="0"/>
              </w:rPr>
              <w:t xml:space="preserve">).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, Londyn 2009. </w:t>
            </w:r>
          </w:p>
          <w:p w:rsidR="00B800B6" w:rsidRDefault="008E64CF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B800B6">
        <w:trPr>
          <w:trHeight w:val="238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PUBLIKACJE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PROWADZĄCYCH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ZAJĘCIA ZWIĄZANE Z </w:t>
            </w:r>
          </w:p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TEMATYKĄ MODUŁU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numPr>
                <w:ilvl w:val="0"/>
                <w:numId w:val="3"/>
              </w:numPr>
              <w:spacing w:line="277" w:lineRule="auto"/>
              <w:ind w:right="48"/>
              <w:jc w:val="both"/>
            </w:pPr>
            <w:r>
              <w:t xml:space="preserve">Działania </w:t>
            </w:r>
            <w:proofErr w:type="spellStart"/>
            <w:r>
              <w:t>kontrwykrywcze</w:t>
            </w:r>
            <w:proofErr w:type="spellEnd"/>
            <w:r>
              <w:t xml:space="preserve"> grup przestępczych ukierunkowane na przeciwdziałanie infiltracji prowadzonej przez policję z wykorzystaniem osób udzielających jej pomocy</w:t>
            </w:r>
            <w:r>
              <w:rPr>
                <w:i w:val="0"/>
              </w:rPr>
              <w:t xml:space="preserve">,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K. </w:t>
            </w:r>
            <w:proofErr w:type="spellStart"/>
            <w:r>
              <w:rPr>
                <w:i w:val="0"/>
              </w:rPr>
              <w:t>Horosiewicz</w:t>
            </w:r>
            <w:proofErr w:type="spellEnd"/>
            <w:r>
              <w:rPr>
                <w:i w:val="0"/>
              </w:rPr>
              <w:t xml:space="preserve">, P. Łabuz), Przegląd Bezpieczeństwa Wewnętrznego ABW 12 (22)/2020. </w:t>
            </w:r>
          </w:p>
          <w:p w:rsidR="00B800B6" w:rsidRDefault="008E64CF">
            <w:pPr>
              <w:numPr>
                <w:ilvl w:val="0"/>
                <w:numId w:val="3"/>
              </w:numPr>
              <w:spacing w:line="277" w:lineRule="auto"/>
              <w:ind w:right="48"/>
              <w:jc w:val="both"/>
            </w:pPr>
            <w:r>
              <w:t xml:space="preserve">Działania </w:t>
            </w:r>
            <w:proofErr w:type="spellStart"/>
            <w:r>
              <w:t>kontrwykrywcze</w:t>
            </w:r>
            <w:proofErr w:type="spellEnd"/>
            <w:r>
              <w:t xml:space="preserve"> grup przestępczych ukierunkowane na ograniczenie skuteczności obserwacji prowadzonej w ramach działań operacyjnych</w:t>
            </w:r>
            <w:r>
              <w:rPr>
                <w:i w:val="0"/>
              </w:rPr>
              <w:t xml:space="preserve">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 P. Łabuz), Problemy kryminalistyki 298 (4) 2017. </w:t>
            </w:r>
          </w:p>
          <w:p w:rsidR="00B800B6" w:rsidRDefault="008E64CF">
            <w:pPr>
              <w:numPr>
                <w:ilvl w:val="0"/>
                <w:numId w:val="3"/>
              </w:numPr>
              <w:ind w:right="48"/>
              <w:jc w:val="both"/>
            </w:pPr>
            <w:r>
              <w:t xml:space="preserve">Działania </w:t>
            </w:r>
            <w:proofErr w:type="spellStart"/>
            <w:r>
              <w:t>kontrwykrywcze</w:t>
            </w:r>
            <w:proofErr w:type="spellEnd"/>
            <w:r>
              <w:t xml:space="preserve"> grup przestępczych ukierunkowane na ograniczenie skuteczności kontroli operacyjnej oraz procesowej kontroli i utrwalania rozmów</w:t>
            </w:r>
            <w:r>
              <w:rPr>
                <w:i w:val="0"/>
              </w:rPr>
              <w:t xml:space="preserve"> (T. </w:t>
            </w:r>
            <w:proofErr w:type="spellStart"/>
            <w:r>
              <w:rPr>
                <w:i w:val="0"/>
              </w:rPr>
              <w:t>Safjański</w:t>
            </w:r>
            <w:proofErr w:type="spellEnd"/>
            <w:r>
              <w:rPr>
                <w:i w:val="0"/>
              </w:rPr>
              <w:t xml:space="preserve">,  P. Łabuz), Problemy kryminalistyki 297(3) 2017. </w:t>
            </w:r>
          </w:p>
        </w:tc>
      </w:tr>
      <w:tr w:rsidR="00B800B6">
        <w:trPr>
          <w:trHeight w:val="18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NAUCZANIA </w:t>
            </w:r>
          </w:p>
          <w:p w:rsidR="00B800B6" w:rsidRDefault="008E64CF">
            <w:pPr>
              <w:spacing w:line="277" w:lineRule="auto"/>
              <w:ind w:left="0" w:right="136"/>
            </w:pPr>
            <w:r>
              <w:rPr>
                <w:b/>
                <w:i w:val="0"/>
              </w:rPr>
              <w:t>(</w:t>
            </w:r>
            <w:r>
              <w:rPr>
                <w:i w:val="0"/>
              </w:rPr>
              <w:t xml:space="preserve">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B800B6" w:rsidRDefault="008E64CF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34"/>
              <w:ind w:left="2"/>
            </w:pPr>
            <w:r>
              <w:rPr>
                <w:i w:val="0"/>
              </w:rPr>
              <w:t xml:space="preserve">W formie bezpośredniej: </w:t>
            </w:r>
          </w:p>
          <w:p w:rsidR="00B800B6" w:rsidRDefault="008E64CF">
            <w:pPr>
              <w:numPr>
                <w:ilvl w:val="0"/>
                <w:numId w:val="4"/>
              </w:numPr>
              <w:spacing w:after="41"/>
              <w:ind w:hanging="709"/>
            </w:pPr>
            <w:r>
              <w:rPr>
                <w:i w:val="0"/>
              </w:rPr>
              <w:t xml:space="preserve">Konwersatorium. </w:t>
            </w:r>
          </w:p>
          <w:p w:rsidR="00B800B6" w:rsidRDefault="008E64CF">
            <w:pPr>
              <w:numPr>
                <w:ilvl w:val="0"/>
                <w:numId w:val="4"/>
              </w:numPr>
              <w:spacing w:after="41"/>
              <w:ind w:hanging="709"/>
            </w:pPr>
            <w:r>
              <w:rPr>
                <w:i w:val="0"/>
              </w:rPr>
              <w:t xml:space="preserve">Dyskusja dydaktyczna. </w:t>
            </w:r>
          </w:p>
          <w:p w:rsidR="00B800B6" w:rsidRDefault="008E64CF">
            <w:pPr>
              <w:numPr>
                <w:ilvl w:val="0"/>
                <w:numId w:val="4"/>
              </w:numPr>
              <w:spacing w:after="41"/>
              <w:ind w:hanging="709"/>
            </w:pPr>
            <w:r>
              <w:rPr>
                <w:i w:val="0"/>
              </w:rPr>
              <w:t xml:space="preserve">Prezentacje multimedialne. </w:t>
            </w:r>
          </w:p>
          <w:p w:rsidR="00B800B6" w:rsidRDefault="008E64CF">
            <w:pPr>
              <w:numPr>
                <w:ilvl w:val="0"/>
                <w:numId w:val="4"/>
              </w:numPr>
              <w:spacing w:after="23"/>
              <w:ind w:hanging="709"/>
            </w:pPr>
            <w:r>
              <w:rPr>
                <w:i w:val="0"/>
              </w:rPr>
              <w:t xml:space="preserve">Analiza przypadków. </w:t>
            </w:r>
          </w:p>
          <w:p w:rsidR="00B800B6" w:rsidRDefault="008E64CF">
            <w:pPr>
              <w:spacing w:after="17"/>
              <w:ind w:left="2"/>
            </w:pPr>
            <w:r>
              <w:rPr>
                <w:i w:val="0"/>
              </w:rPr>
              <w:t xml:space="preserve"> </w:t>
            </w:r>
          </w:p>
          <w:p w:rsidR="00B800B6" w:rsidRDefault="008E64CF">
            <w:pPr>
              <w:ind w:left="2"/>
            </w:pPr>
            <w:r>
              <w:rPr>
                <w:i w:val="0"/>
              </w:rPr>
              <w:t xml:space="preserve">W formie e-learning: </w:t>
            </w:r>
          </w:p>
        </w:tc>
      </w:tr>
      <w:tr w:rsidR="00B800B6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0"/>
            </w:pPr>
            <w:r>
              <w:rPr>
                <w:b/>
                <w:i w:val="0"/>
              </w:rPr>
              <w:t xml:space="preserve">POMOCE NAUKOWE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B800B6">
        <w:trPr>
          <w:trHeight w:val="106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PROJEKT </w:t>
            </w:r>
          </w:p>
          <w:p w:rsidR="00B800B6" w:rsidRDefault="008E64CF">
            <w:pPr>
              <w:ind w:left="0" w:right="34"/>
            </w:pPr>
            <w:r>
              <w:rPr>
                <w:b/>
                <w:i w:val="0"/>
              </w:rPr>
              <w:t xml:space="preserve">(o ile jest realizowany w ramach modułu zajęć)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2"/>
            </w:pPr>
            <w:r>
              <w:rPr>
                <w:i w:val="0"/>
              </w:rPr>
              <w:t xml:space="preserve">Cel projektu: </w:t>
            </w:r>
          </w:p>
          <w:p w:rsidR="00B800B6" w:rsidRDefault="008E64CF">
            <w:pPr>
              <w:spacing w:after="17"/>
              <w:ind w:left="2"/>
            </w:pPr>
            <w:r>
              <w:rPr>
                <w:i w:val="0"/>
              </w:rPr>
              <w:t xml:space="preserve">Temat projektu: </w:t>
            </w:r>
          </w:p>
          <w:p w:rsidR="00B800B6" w:rsidRDefault="008E64CF">
            <w:pPr>
              <w:spacing w:after="17"/>
              <w:ind w:left="2"/>
            </w:pPr>
            <w:r>
              <w:rPr>
                <w:i w:val="0"/>
              </w:rPr>
              <w:t xml:space="preserve">Forma projektu: </w:t>
            </w:r>
          </w:p>
          <w:p w:rsidR="00B800B6" w:rsidRDefault="008E64CF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</w:tr>
      <w:tr w:rsidR="00B800B6">
        <w:trPr>
          <w:trHeight w:val="15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 I WARUNKI </w:t>
            </w:r>
          </w:p>
          <w:p w:rsidR="00B800B6" w:rsidRDefault="008E64CF">
            <w:pPr>
              <w:spacing w:after="17"/>
              <w:ind w:left="0"/>
            </w:pPr>
            <w:r>
              <w:rPr>
                <w:b/>
                <w:i w:val="0"/>
              </w:rPr>
              <w:t xml:space="preserve">ZALICZENIA </w:t>
            </w:r>
          </w:p>
          <w:p w:rsidR="00B800B6" w:rsidRDefault="008E64CF">
            <w:pPr>
              <w:ind w:left="0" w:right="136"/>
            </w:pPr>
            <w:r>
              <w:rPr>
                <w:b/>
                <w:i w:val="0"/>
              </w:rPr>
              <w:t>(</w:t>
            </w:r>
            <w:r>
              <w:rPr>
                <w:i w:val="0"/>
              </w:rPr>
              <w:t xml:space="preserve">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>)</w:t>
            </w:r>
            <w:r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ab/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B6" w:rsidRDefault="008E64CF">
            <w:pPr>
              <w:ind w:left="2"/>
            </w:pPr>
            <w:r>
              <w:rPr>
                <w:i w:val="0"/>
              </w:rPr>
              <w:t xml:space="preserve">Formą zaliczenia ćwiczeń jest przygotowanie pracy pisemnej na temat wskazany przez prowadzącego zajęcia.  </w:t>
            </w:r>
          </w:p>
        </w:tc>
      </w:tr>
    </w:tbl>
    <w:p w:rsidR="00B800B6" w:rsidRDefault="008E64CF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sectPr w:rsidR="00B800B6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1E6F"/>
    <w:multiLevelType w:val="hybridMultilevel"/>
    <w:tmpl w:val="87C2B44E"/>
    <w:lvl w:ilvl="0" w:tplc="B3544810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EE30E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E09642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C16D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03B30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AD68E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42890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7847A4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3CD02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70B09"/>
    <w:multiLevelType w:val="hybridMultilevel"/>
    <w:tmpl w:val="2E5C0E9E"/>
    <w:lvl w:ilvl="0" w:tplc="1DAE05F8">
      <w:start w:val="1"/>
      <w:numFmt w:val="decimal"/>
      <w:lvlText w:val="%1.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C02D6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8227A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E796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949C2C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23D3A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92B28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945922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02FF4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943717"/>
    <w:multiLevelType w:val="hybridMultilevel"/>
    <w:tmpl w:val="4EFED63A"/>
    <w:lvl w:ilvl="0" w:tplc="FAAE807E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2D24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169486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C646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80242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E4CE00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C6152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5E1E5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0DE4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2B4B5C"/>
    <w:multiLevelType w:val="hybridMultilevel"/>
    <w:tmpl w:val="B6ECF16C"/>
    <w:lvl w:ilvl="0" w:tplc="51941B3C">
      <w:start w:val="1"/>
      <w:numFmt w:val="decimal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C177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69BEC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E9656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3C4C98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0312A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A2F04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6E41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C3E9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6"/>
    <w:rsid w:val="000C114E"/>
    <w:rsid w:val="008E64CF"/>
    <w:rsid w:val="00B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F728"/>
  <w15:docId w15:val="{F9417282-2D11-4A80-B609-EF0DD891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1284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2026-05-25T08:08:00Z</dcterms:created>
  <dcterms:modified xsi:type="dcterms:W3CDTF">2026-05-25T12:08:00Z</dcterms:modified>
</cp:coreProperties>
</file>