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64D2" w14:textId="77777777" w:rsidR="009C047B" w:rsidRPr="000B54B8" w:rsidRDefault="009C047B">
      <w:pPr>
        <w:spacing w:after="0"/>
        <w:ind w:left="-1440" w:right="10466"/>
        <w:rPr>
          <w:rFonts w:ascii="Arial Narrow" w:hAnsi="Arial Narrow" w:cs="Arial"/>
          <w:color w:val="auto"/>
          <w:sz w:val="20"/>
          <w:szCs w:val="20"/>
        </w:rPr>
      </w:pPr>
    </w:p>
    <w:tbl>
      <w:tblPr>
        <w:tblStyle w:val="TableGrid"/>
        <w:tblW w:w="9090" w:type="dxa"/>
        <w:tblInd w:w="-164" w:type="dxa"/>
        <w:tblLayout w:type="fixed"/>
        <w:tblCellMar>
          <w:top w:w="46" w:type="dxa"/>
          <w:left w:w="68" w:type="dxa"/>
        </w:tblCellMar>
        <w:tblLook w:val="04A0" w:firstRow="1" w:lastRow="0" w:firstColumn="1" w:lastColumn="0" w:noHBand="0" w:noVBand="1"/>
      </w:tblPr>
      <w:tblGrid>
        <w:gridCol w:w="1720"/>
        <w:gridCol w:w="26"/>
        <w:gridCol w:w="1209"/>
        <w:gridCol w:w="1259"/>
        <w:gridCol w:w="331"/>
        <w:gridCol w:w="1001"/>
        <w:gridCol w:w="1276"/>
        <w:gridCol w:w="1134"/>
        <w:gridCol w:w="1134"/>
      </w:tblGrid>
      <w:tr w:rsidR="00DA0D05" w:rsidRPr="000B54B8" w14:paraId="27B255F2" w14:textId="77777777" w:rsidTr="009E01AF">
        <w:trPr>
          <w:trHeight w:val="271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9C327A6" w14:textId="77777777" w:rsidR="009C047B" w:rsidRPr="000B54B8" w:rsidRDefault="00E27ECA">
            <w:pPr>
              <w:tabs>
                <w:tab w:val="center" w:pos="4678"/>
                <w:tab w:val="center" w:pos="5336"/>
              </w:tabs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ab/>
            </w: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AKADEMIA WSB </w:t>
            </w: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</w:r>
          </w:p>
          <w:p w14:paraId="29867E91" w14:textId="7DF0F381" w:rsidR="008F3A0B" w:rsidRPr="000B54B8" w:rsidRDefault="008F3A0B" w:rsidP="008F3A0B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     Wydział w Krakowie</w:t>
            </w:r>
          </w:p>
        </w:tc>
      </w:tr>
      <w:tr w:rsidR="00DA0D05" w:rsidRPr="000B54B8" w14:paraId="0365D730" w14:textId="77777777" w:rsidTr="009E01AF">
        <w:trPr>
          <w:trHeight w:val="275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383" w14:textId="77777777" w:rsidR="009C047B" w:rsidRPr="000B54B8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Kierunek studiów: Bezpieczeństwo narodowe </w:t>
            </w:r>
          </w:p>
        </w:tc>
      </w:tr>
      <w:tr w:rsidR="00DA0D05" w:rsidRPr="000B54B8" w14:paraId="2987FEF5" w14:textId="77777777" w:rsidTr="009E01AF">
        <w:trPr>
          <w:trHeight w:val="27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03CE" w14:textId="611E655E" w:rsidR="009C047B" w:rsidRPr="000B54B8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Przedmiot: </w:t>
            </w:r>
            <w:r w:rsidR="00F9733B"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Identyfikacja rzeczy i osób – ekspertyza kryminalistyczna</w:t>
            </w:r>
          </w:p>
        </w:tc>
      </w:tr>
      <w:tr w:rsidR="00DA0D05" w:rsidRPr="000B54B8" w14:paraId="58711574" w14:textId="77777777" w:rsidTr="009E01AF">
        <w:trPr>
          <w:trHeight w:val="27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C010" w14:textId="77777777" w:rsidR="009C047B" w:rsidRPr="000B54B8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Profil kształcenia: praktyczny </w:t>
            </w:r>
          </w:p>
        </w:tc>
      </w:tr>
      <w:tr w:rsidR="00DA0D05" w:rsidRPr="000B54B8" w14:paraId="0DEEF02E" w14:textId="77777777" w:rsidTr="009E01AF">
        <w:trPr>
          <w:trHeight w:val="27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5B6" w14:textId="45D73698" w:rsidR="009C047B" w:rsidRPr="000B54B8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Poziom kształcenia: studia I stopnia </w:t>
            </w:r>
          </w:p>
        </w:tc>
      </w:tr>
      <w:tr w:rsidR="009E01AF" w:rsidRPr="000B54B8" w14:paraId="6CED1C80" w14:textId="77777777" w:rsidTr="009E01AF">
        <w:trPr>
          <w:trHeight w:val="276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DE" w14:textId="77777777" w:rsidR="009E01AF" w:rsidRPr="000B54B8" w:rsidRDefault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Liczba godzin w semestrze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76A" w14:textId="77777777" w:rsidR="009E01AF" w:rsidRPr="000B54B8" w:rsidRDefault="009E01AF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66C3" w14:textId="77777777" w:rsidR="009E01AF" w:rsidRPr="000B54B8" w:rsidRDefault="009E01AF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463" w14:textId="5033FDE5" w:rsidR="009E01AF" w:rsidRPr="000B54B8" w:rsidRDefault="009E01AF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3</w:t>
            </w:r>
          </w:p>
        </w:tc>
      </w:tr>
      <w:tr w:rsidR="009E01AF" w:rsidRPr="000B54B8" w14:paraId="1B85DEB3" w14:textId="77777777" w:rsidTr="009E01AF">
        <w:trPr>
          <w:trHeight w:val="274"/>
        </w:trPr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FBA" w14:textId="77777777" w:rsidR="009E01AF" w:rsidRPr="000B54B8" w:rsidRDefault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BB2" w14:textId="77777777" w:rsidR="009E01AF" w:rsidRPr="000B54B8" w:rsidRDefault="009E01AF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F9F70" w14:textId="77777777" w:rsidR="009E01AF" w:rsidRPr="000B54B8" w:rsidRDefault="009E01AF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II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4204" w14:textId="77777777" w:rsidR="009E01AF" w:rsidRPr="000B54B8" w:rsidRDefault="009E01AF">
            <w:pPr>
              <w:ind w:right="7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41059" w14:textId="77777777" w:rsidR="009E01AF" w:rsidRPr="000B54B8" w:rsidRDefault="009E01AF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IV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3EA98" w14:textId="75A00B7C" w:rsidR="009E01AF" w:rsidRPr="000B54B8" w:rsidRDefault="009E01AF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53B03" w14:textId="5DEB079E" w:rsidR="009E01AF" w:rsidRPr="000B54B8" w:rsidRDefault="009E01AF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VI</w:t>
            </w:r>
          </w:p>
        </w:tc>
      </w:tr>
      <w:tr w:rsidR="009E01AF" w:rsidRPr="000B54B8" w14:paraId="0AA6E525" w14:textId="77777777" w:rsidTr="009E01AF">
        <w:trPr>
          <w:trHeight w:val="53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2F33" w14:textId="77777777" w:rsidR="009E01AF" w:rsidRPr="000B54B8" w:rsidRDefault="009E01AF" w:rsidP="001F5CE1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stacjonarne </w:t>
            </w:r>
          </w:p>
          <w:p w14:paraId="69C89DE1" w14:textId="77777777" w:rsidR="009E01AF" w:rsidRPr="000B54B8" w:rsidRDefault="009E01AF" w:rsidP="001F5CE1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F5F" w14:textId="77777777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7E929" w14:textId="072B5399" w:rsidR="009E01AF" w:rsidRPr="000B54B8" w:rsidRDefault="009E01AF" w:rsidP="001F5CE1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A814" w14:textId="33FEF41B" w:rsidR="009E01AF" w:rsidRPr="000B54B8" w:rsidRDefault="009E01AF" w:rsidP="001F5CE1">
            <w:pPr>
              <w:ind w:right="74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0E658" w14:textId="31A5EB6B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 24ćw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17771" w14:textId="77777777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4ED78" w14:textId="75B156EE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9E01AF" w:rsidRPr="000B54B8" w14:paraId="601E3B1F" w14:textId="77777777" w:rsidTr="009E01AF">
        <w:trPr>
          <w:trHeight w:val="5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A08" w14:textId="77777777" w:rsidR="009E01AF" w:rsidRPr="000B54B8" w:rsidRDefault="009E01AF" w:rsidP="001F5CE1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niestacjonarne </w:t>
            </w:r>
          </w:p>
          <w:p w14:paraId="16A36A96" w14:textId="77777777" w:rsidR="009E01AF" w:rsidRPr="000B54B8" w:rsidRDefault="009E01AF" w:rsidP="001F5CE1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2A1" w14:textId="77777777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34E91" w14:textId="2432D2B3" w:rsidR="009E01AF" w:rsidRPr="000B54B8" w:rsidRDefault="009E01AF" w:rsidP="001F5CE1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CD5D" w14:textId="0532D218" w:rsidR="009E01AF" w:rsidRPr="000B54B8" w:rsidRDefault="009E01AF" w:rsidP="001F5CE1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9C8E3" w14:textId="77777777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 16ćw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C736D" w14:textId="77777777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86DF0" w14:textId="7A229C0E" w:rsidR="009E01AF" w:rsidRPr="000B54B8" w:rsidRDefault="009E01AF" w:rsidP="001F5CE1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9E01AF" w:rsidRPr="000B54B8" w14:paraId="362F30B9" w14:textId="77777777" w:rsidTr="009E01AF">
        <w:trPr>
          <w:trHeight w:val="2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0B08" w14:textId="77777777" w:rsidR="009E01AF" w:rsidRPr="000B54B8" w:rsidRDefault="009E01AF" w:rsidP="009E01AF">
            <w:pPr>
              <w:keepNext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JĘZYK PROWADZENIA </w:t>
            </w:r>
          </w:p>
          <w:p w14:paraId="4F50B8E8" w14:textId="668A3375" w:rsidR="009E01AF" w:rsidRPr="000B54B8" w:rsidRDefault="009E01AF" w:rsidP="009E01AF">
            <w:pPr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b/>
                <w:bCs/>
                <w:sz w:val="20"/>
                <w:szCs w:val="20"/>
              </w:rPr>
              <w:t>ZAJĘĆ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8B19" w14:textId="5EE4EB84" w:rsidR="009E01AF" w:rsidRPr="000B54B8" w:rsidRDefault="009E01AF" w:rsidP="009E01AF">
            <w:p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9E01AF" w:rsidRPr="000B54B8" w14:paraId="20C3A6CF" w14:textId="77777777" w:rsidTr="009E01AF">
        <w:trPr>
          <w:trHeight w:val="2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12D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WYKŁADOWCA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7D0" w14:textId="5F67C306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mgr Jarosław Adamczyk, mgr Tomasz Bory</w:t>
            </w:r>
            <w:r w:rsidR="001B0792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n</w:t>
            </w:r>
            <w:bookmarkStart w:id="0" w:name="_GoBack"/>
            <w:bookmarkEnd w:id="0"/>
          </w:p>
        </w:tc>
      </w:tr>
      <w:tr w:rsidR="009E01AF" w:rsidRPr="000B54B8" w14:paraId="34472EAC" w14:textId="77777777" w:rsidTr="009E01AF">
        <w:trPr>
          <w:trHeight w:val="30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16E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E5B" w14:textId="034EAAAB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Ćwiczenia</w:t>
            </w:r>
          </w:p>
        </w:tc>
      </w:tr>
      <w:tr w:rsidR="009E01AF" w:rsidRPr="000B54B8" w14:paraId="4E97F833" w14:textId="77777777" w:rsidTr="009E01AF">
        <w:trPr>
          <w:trHeight w:val="90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D5F" w14:textId="77777777" w:rsidR="009E01AF" w:rsidRPr="000B54B8" w:rsidRDefault="009E01AF" w:rsidP="009E01AF">
            <w:pPr>
              <w:spacing w:after="17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000000" w:themeColor="text1"/>
                <w:sz w:val="20"/>
                <w:szCs w:val="20"/>
              </w:rPr>
              <w:t xml:space="preserve">CELE PRZEDMIOTU </w:t>
            </w:r>
          </w:p>
          <w:p w14:paraId="1FC8BF2C" w14:textId="77777777" w:rsidR="009E01AF" w:rsidRPr="000B54B8" w:rsidRDefault="009E01AF" w:rsidP="009E01AF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94E" w14:textId="5111CBDF" w:rsidR="009E01AF" w:rsidRPr="000B54B8" w:rsidRDefault="009E01AF" w:rsidP="009E01AF">
            <w:pPr>
              <w:ind w:left="4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Umożliwienie przyswojenia przez studentów pojęcia identyfikacji grupowej i indywidualnej rzeczy i osób w badaniach kryminalistycznych. Poprawne zrozumienie i typowanie materiałów porównawczych umożliwiających badanie identyfikacyjne. Umożliwi na podstawie wyników analizy porównawczej śladów, poprawne wnioskować i tworzyć wersje śledcze.</w:t>
            </w:r>
          </w:p>
        </w:tc>
      </w:tr>
      <w:tr w:rsidR="009E01AF" w:rsidRPr="000B54B8" w14:paraId="3F159AD5" w14:textId="77777777" w:rsidTr="009E01AF">
        <w:trPr>
          <w:trHeight w:val="298"/>
        </w:trPr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9A7D3" w14:textId="77777777" w:rsidR="009E01AF" w:rsidRPr="000B54B8" w:rsidRDefault="009E01AF" w:rsidP="009E01AF">
            <w:pPr>
              <w:ind w:right="76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2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827AF" w14:textId="77777777" w:rsidR="009E01AF" w:rsidRPr="000B54B8" w:rsidRDefault="009E01AF" w:rsidP="009E01AF">
            <w:pPr>
              <w:ind w:right="7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Opis efektów uczenia się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76334" w14:textId="77777777" w:rsidR="009E01AF" w:rsidRPr="000B54B8" w:rsidRDefault="009E01AF" w:rsidP="009E01AF">
            <w:pPr>
              <w:ind w:left="9" w:right="3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Sposób weryfikacji efektu uczenia się </w:t>
            </w:r>
          </w:p>
        </w:tc>
      </w:tr>
      <w:tr w:rsidR="009E01AF" w:rsidRPr="000B54B8" w14:paraId="12095254" w14:textId="77777777" w:rsidTr="009E01AF">
        <w:trPr>
          <w:trHeight w:val="29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1A828" w14:textId="77777777" w:rsidR="009E01AF" w:rsidRPr="000B54B8" w:rsidRDefault="009E01AF" w:rsidP="009E01AF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Efekt kierunkowy 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CEB02" w14:textId="77777777" w:rsidR="009E01AF" w:rsidRPr="000B54B8" w:rsidRDefault="009E01AF" w:rsidP="009E01AF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PRK </w:t>
            </w:r>
          </w:p>
        </w:tc>
        <w:tc>
          <w:tcPr>
            <w:tcW w:w="2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BD1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6F0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9E01AF" w:rsidRPr="000B54B8" w14:paraId="6BCEF78F" w14:textId="77777777" w:rsidTr="009E01AF">
        <w:trPr>
          <w:trHeight w:val="296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80B87" w14:textId="77777777" w:rsidR="009E01AF" w:rsidRPr="000B54B8" w:rsidRDefault="009E01AF" w:rsidP="009E01AF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WIEDZA </w:t>
            </w:r>
          </w:p>
        </w:tc>
      </w:tr>
      <w:tr w:rsidR="009E01AF" w:rsidRPr="000B54B8" w14:paraId="2B8EF47D" w14:textId="77777777" w:rsidTr="009E01AF">
        <w:trPr>
          <w:trHeight w:val="113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7A8" w14:textId="7F61C141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BN_W03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5294" w14:textId="77777777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P6U_W </w:t>
            </w:r>
          </w:p>
          <w:p w14:paraId="5D74B04B" w14:textId="77777777" w:rsidR="00E41E92" w:rsidRPr="000B54B8" w:rsidRDefault="00E41E92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P6U_WG</w:t>
            </w:r>
          </w:p>
          <w:p w14:paraId="48BEA8A6" w14:textId="40998AF5" w:rsidR="00E41E92" w:rsidRPr="000B54B8" w:rsidRDefault="00E41E92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271" w14:textId="3E630157" w:rsidR="009E01AF" w:rsidRPr="000B54B8" w:rsidRDefault="009E01AF" w:rsidP="009E01AF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zna w stopniu zaawansowanym i rozumie strukturę organizacyjną i zadania Laboratorium Kryminalistycznego Policji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5699" w14:textId="23AC1EDE" w:rsidR="009E01AF" w:rsidRPr="000B54B8" w:rsidRDefault="009E01AF" w:rsidP="009E01AF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Praca w grupach, przy zabezpieczaniu wybranych śladów kryminalistycznych</w:t>
            </w:r>
            <w:r w:rsidR="008F3A0B"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i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odpowiedni</w:t>
            </w:r>
            <w:r w:rsidR="008F3A0B"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ego 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materiał</w:t>
            </w:r>
            <w:r w:rsidR="008F3A0B"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u 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porównawcz</w:t>
            </w:r>
            <w:r w:rsidR="008F3A0B"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ego</w:t>
            </w:r>
          </w:p>
        </w:tc>
      </w:tr>
      <w:tr w:rsidR="009E01AF" w:rsidRPr="000B54B8" w14:paraId="69E5F8DF" w14:textId="77777777" w:rsidTr="009E01AF">
        <w:trPr>
          <w:trHeight w:val="78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F23" w14:textId="09D8E056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BN_W04 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F3A2" w14:textId="77777777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P6U_W</w:t>
            </w:r>
          </w:p>
          <w:p w14:paraId="6D8B0F61" w14:textId="47634958" w:rsidR="00E41E92" w:rsidRPr="000B54B8" w:rsidRDefault="00E41E92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P6U_WG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435A" w14:textId="22C04CFA" w:rsidR="009E01AF" w:rsidRPr="000B54B8" w:rsidRDefault="009E01AF" w:rsidP="009E01AF">
            <w:pPr>
              <w:ind w:right="1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zna w stopniu zaawansowanym metody funkcjonowania służby</w:t>
            </w:r>
          </w:p>
          <w:p w14:paraId="0AD9E8E3" w14:textId="7603B9E5" w:rsidR="009E01AF" w:rsidRPr="000B54B8" w:rsidRDefault="009E01AF" w:rsidP="009E01AF">
            <w:pPr>
              <w:ind w:left="1" w:right="1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techniki kryminalistycznej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0EA0" w14:textId="20C85DD1" w:rsidR="009E01AF" w:rsidRPr="000B54B8" w:rsidRDefault="008F3A0B" w:rsidP="009E01AF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Praca w grupach, przy zabezpieczaniu wybranych śladów kryminalistycznych i odpowiedniego materiału porównawczego</w:t>
            </w:r>
          </w:p>
        </w:tc>
      </w:tr>
      <w:tr w:rsidR="009E01AF" w:rsidRPr="000B54B8" w14:paraId="62683F79" w14:textId="77777777" w:rsidTr="009E01AF">
        <w:trPr>
          <w:trHeight w:val="295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3FB9A" w14:textId="77777777" w:rsidR="009E01AF" w:rsidRPr="000B54B8" w:rsidRDefault="009E01AF" w:rsidP="009E01AF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UMIEJĘTNOŚCI </w:t>
            </w:r>
          </w:p>
        </w:tc>
      </w:tr>
      <w:tr w:rsidR="009E01AF" w:rsidRPr="000B54B8" w14:paraId="777338C4" w14:textId="77777777" w:rsidTr="009E01AF">
        <w:trPr>
          <w:trHeight w:val="740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0D0" w14:textId="3531B75C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BN_U05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F85B" w14:textId="77777777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P6U_U</w:t>
            </w:r>
          </w:p>
          <w:p w14:paraId="4F240F11" w14:textId="4701975A" w:rsidR="00E41E92" w:rsidRPr="000B54B8" w:rsidRDefault="00E41E92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P6U_UW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E168" w14:textId="6DF9108D" w:rsidR="00E41E92" w:rsidRPr="000B54B8" w:rsidRDefault="00E41E92" w:rsidP="000B54B8">
            <w:pPr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Style w:val="Pogrubienie"/>
                <w:rFonts w:ascii="Arial Narrow" w:hAnsi="Arial Narrow"/>
                <w:sz w:val="20"/>
                <w:szCs w:val="20"/>
              </w:rPr>
              <w:t>Student potrafi analizować  i klasyfikować różne rodzaje śladów kryminalistycznych</w:t>
            </w:r>
            <w:r w:rsidR="00384556" w:rsidRPr="000B54B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EE99" w14:textId="77777777" w:rsidR="009E01AF" w:rsidRPr="000B54B8" w:rsidRDefault="008F3A0B" w:rsidP="008F3A0B">
            <w:pPr>
              <w:ind w:left="1" w:right="17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Analiza przypadków na zajęciach. </w:t>
            </w:r>
          </w:p>
          <w:p w14:paraId="2D6E31A4" w14:textId="3859E41D" w:rsidR="008F3A0B" w:rsidRPr="000B54B8" w:rsidRDefault="008F3A0B" w:rsidP="008F3A0B">
            <w:pPr>
              <w:ind w:left="1" w:right="17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Praca w grupach, przy zabezpieczaniu wybranych śladów kryminalistycznych i odpowiedniego materiału porównawczego</w:t>
            </w:r>
          </w:p>
        </w:tc>
      </w:tr>
      <w:tr w:rsidR="009E01AF" w:rsidRPr="000B54B8" w14:paraId="38DFDE1F" w14:textId="77777777" w:rsidTr="009E01AF">
        <w:trPr>
          <w:trHeight w:val="360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F64" w14:textId="5F0F1C93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BN_U02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4515" w14:textId="77777777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P6U_U</w:t>
            </w:r>
          </w:p>
          <w:p w14:paraId="6436504A" w14:textId="0ECE2022" w:rsidR="00E41E92" w:rsidRPr="000B54B8" w:rsidRDefault="00E41E92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P6U_UW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9342" w14:textId="77777777" w:rsidR="009E01AF" w:rsidRPr="000B54B8" w:rsidRDefault="009E01AF" w:rsidP="008F3A0B">
            <w:pPr>
              <w:ind w:left="1" w:right="35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umie oceniać przydatność</w:t>
            </w:r>
          </w:p>
          <w:p w14:paraId="12B3133B" w14:textId="2EA5E487" w:rsidR="009E01AF" w:rsidRPr="000B54B8" w:rsidRDefault="009E01AF" w:rsidP="008F3A0B">
            <w:pPr>
              <w:ind w:left="1" w:right="35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śladów/przedmiotów do</w:t>
            </w:r>
            <w:r w:rsidR="008F3A0B"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badań</w:t>
            </w:r>
            <w:r w:rsidR="008F3A0B"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kryminalistycznych;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972" w14:textId="77777777" w:rsidR="008F3A0B" w:rsidRPr="000B54B8" w:rsidRDefault="008F3A0B" w:rsidP="008F3A0B">
            <w:pPr>
              <w:ind w:left="1" w:right="17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Analiza przypadków na zajęciach. </w:t>
            </w:r>
          </w:p>
          <w:p w14:paraId="7AF58AEF" w14:textId="7EA2FFDB" w:rsidR="009E01AF" w:rsidRPr="000B54B8" w:rsidRDefault="009E01AF" w:rsidP="008F3A0B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9E01AF" w:rsidRPr="000B54B8" w14:paraId="6604FF84" w14:textId="77777777" w:rsidTr="009E01AF">
        <w:tblPrEx>
          <w:tblCellMar>
            <w:top w:w="28" w:type="dxa"/>
            <w:left w:w="0" w:type="dxa"/>
          </w:tblCellMar>
        </w:tblPrEx>
        <w:trPr>
          <w:trHeight w:val="82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94B" w14:textId="6E9149FA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BN_U04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863E" w14:textId="77777777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P6U_U</w:t>
            </w:r>
          </w:p>
          <w:p w14:paraId="1A9220E1" w14:textId="0146C854" w:rsidR="00E41E92" w:rsidRPr="000B54B8" w:rsidRDefault="00E41E92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P6U_UW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0A50" w14:textId="4B60220A" w:rsidR="009E01AF" w:rsidRPr="000B54B8" w:rsidRDefault="009E01AF" w:rsidP="008F3A0B">
            <w:pPr>
              <w:ind w:right="349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potrafi wytypować i zabezpieczyć materiał porównawczy do badań;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9033" w14:textId="7B4D0E2D" w:rsidR="009E01AF" w:rsidRPr="000B54B8" w:rsidRDefault="009E01AF" w:rsidP="008F3A0B">
            <w:pPr>
              <w:ind w:left="1" w:right="-10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8F3A0B"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Praca w grupach, przy zabezpieczaniu wybranych śladów kryminalistycznych i odpowiedniego materiału porównawczego</w:t>
            </w:r>
          </w:p>
        </w:tc>
      </w:tr>
      <w:tr w:rsidR="009E01AF" w:rsidRPr="000B54B8" w14:paraId="4443FAD4" w14:textId="77777777" w:rsidTr="009E01AF">
        <w:tblPrEx>
          <w:tblCellMar>
            <w:top w:w="28" w:type="dxa"/>
            <w:left w:w="0" w:type="dxa"/>
          </w:tblCellMar>
        </w:tblPrEx>
        <w:trPr>
          <w:trHeight w:val="295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037A8" w14:textId="77777777" w:rsidR="009E01AF" w:rsidRPr="000B54B8" w:rsidRDefault="009E01AF" w:rsidP="009E01AF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KOMPETENCJE SPOŁECZNE </w:t>
            </w:r>
          </w:p>
        </w:tc>
      </w:tr>
      <w:tr w:rsidR="009E01AF" w:rsidRPr="000B54B8" w14:paraId="53E70ED7" w14:textId="77777777" w:rsidTr="009E01AF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E4D" w14:textId="3FDE92D6" w:rsidR="00384556" w:rsidRPr="000B54B8" w:rsidRDefault="00384556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/>
                <w:sz w:val="20"/>
                <w:szCs w:val="20"/>
              </w:rPr>
              <w:t>BN_K07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F853" w14:textId="77777777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P6U_K</w:t>
            </w:r>
          </w:p>
          <w:p w14:paraId="3C34FB95" w14:textId="071A73E0" w:rsidR="00E41E92" w:rsidRPr="000B54B8" w:rsidRDefault="00E41E92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P6U_K</w:t>
            </w:r>
            <w:r w:rsidR="00384556"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R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0107" w14:textId="7131B1C0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Student:</w:t>
            </w:r>
          </w:p>
          <w:p w14:paraId="57A45207" w14:textId="3621A1B4" w:rsidR="009E01AF" w:rsidRPr="000B54B8" w:rsidRDefault="009E01AF" w:rsidP="0038455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• </w:t>
            </w:r>
            <w:r w:rsidR="00384556" w:rsidRPr="000B54B8">
              <w:rPr>
                <w:rStyle w:val="Pogrubienie"/>
                <w:rFonts w:ascii="Arial Narrow" w:hAnsi="Arial Narrow"/>
                <w:sz w:val="20"/>
                <w:szCs w:val="20"/>
              </w:rPr>
              <w:t xml:space="preserve"> jest gotów do odpowiedzialnego i etycznego postępowania podczas </w:t>
            </w:r>
            <w:r w:rsidR="00384556" w:rsidRPr="000B54B8">
              <w:rPr>
                <w:rStyle w:val="Pogrubienie"/>
                <w:rFonts w:ascii="Arial Narrow" w:hAnsi="Arial Narrow"/>
                <w:sz w:val="20"/>
                <w:szCs w:val="20"/>
              </w:rPr>
              <w:lastRenderedPageBreak/>
              <w:t>zabezpieczania i analizy śladów kryminalistycznych</w:t>
            </w:r>
            <w:r w:rsidR="00384556" w:rsidRPr="000B54B8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3F8E" w14:textId="134388D9" w:rsidR="009E01AF" w:rsidRPr="000B54B8" w:rsidRDefault="008F3A0B" w:rsidP="009E01AF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lastRenderedPageBreak/>
              <w:t>Praca w grupach, przy zabezpieczaniu wybranych śladów kryminalistycznych i odpowiedniego materiału porównawczego</w:t>
            </w:r>
          </w:p>
        </w:tc>
      </w:tr>
      <w:tr w:rsidR="009E01AF" w:rsidRPr="000B54B8" w14:paraId="1309FE43" w14:textId="77777777" w:rsidTr="009E01AF">
        <w:tblPrEx>
          <w:tblCellMar>
            <w:top w:w="28" w:type="dxa"/>
            <w:left w:w="0" w:type="dxa"/>
          </w:tblCellMar>
        </w:tblPrEx>
        <w:trPr>
          <w:trHeight w:val="434"/>
        </w:trPr>
        <w:tc>
          <w:tcPr>
            <w:tcW w:w="9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94B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dyd</w:t>
            </w:r>
            <w:proofErr w:type="spellEnd"/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.=45 minut)**  </w:t>
            </w:r>
          </w:p>
        </w:tc>
      </w:tr>
      <w:tr w:rsidR="009E01AF" w:rsidRPr="000B54B8" w14:paraId="7F2FAD96" w14:textId="77777777" w:rsidTr="006A747B">
        <w:tblPrEx>
          <w:tblCellMar>
            <w:top w:w="28" w:type="dxa"/>
            <w:left w:w="0" w:type="dxa"/>
          </w:tblCellMar>
        </w:tblPrEx>
        <w:trPr>
          <w:trHeight w:val="434"/>
        </w:trPr>
        <w:tc>
          <w:tcPr>
            <w:tcW w:w="4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49E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0B54B8">
              <w:rPr>
                <w:rFonts w:ascii="Arial Narrow" w:hAnsi="Arial Narrow"/>
                <w:b/>
                <w:color w:val="000000"/>
              </w:rPr>
              <w:t>Stacjonarne</w:t>
            </w:r>
          </w:p>
          <w:p w14:paraId="3D062CE5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30F52037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udział w ćwiczeniach = 24 h</w:t>
            </w:r>
          </w:p>
          <w:p w14:paraId="46E19B59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przygotowanie do ćwiczeń = 20 h</w:t>
            </w:r>
          </w:p>
          <w:p w14:paraId="5811761B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30ECBC4E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0500D5A8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0C112EEE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konsultacje= 2 h</w:t>
            </w:r>
          </w:p>
          <w:p w14:paraId="0A4209FA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e-learning =</w:t>
            </w:r>
          </w:p>
          <w:p w14:paraId="22856110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zaliczenie/egzamin = 2 h</w:t>
            </w:r>
          </w:p>
          <w:p w14:paraId="71E960DA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21357452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0B54B8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14:paraId="1ABC41A3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0B54B8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6E360679" w14:textId="432EC782" w:rsidR="009E01AF" w:rsidRPr="000B54B8" w:rsidRDefault="009E01AF" w:rsidP="009E01AF">
            <w:pPr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9007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0B54B8">
              <w:rPr>
                <w:rFonts w:ascii="Arial Narrow" w:hAnsi="Arial Narrow"/>
                <w:b/>
                <w:color w:val="000000"/>
              </w:rPr>
              <w:t>Niestacjonarne</w:t>
            </w:r>
          </w:p>
          <w:p w14:paraId="01AA5987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7F39429E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udział w ćwiczeniach = 16 h</w:t>
            </w:r>
          </w:p>
          <w:p w14:paraId="52BD988A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przygotowanie do ćwiczeń = 28 h</w:t>
            </w:r>
          </w:p>
          <w:p w14:paraId="4E91D626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4BD15ED9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3A308C04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73783F7B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konsultacje= 2 h</w:t>
            </w:r>
          </w:p>
          <w:p w14:paraId="67283D34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e-learning =</w:t>
            </w:r>
          </w:p>
          <w:p w14:paraId="0DC0E6E9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>zaliczenie/egzamin = 2 h</w:t>
            </w:r>
          </w:p>
          <w:p w14:paraId="3C672527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color w:val="000000"/>
              </w:rPr>
            </w:pPr>
            <w:r w:rsidRPr="000B54B8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5C091EF6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0B54B8">
              <w:rPr>
                <w:rFonts w:ascii="Arial Narrow" w:hAnsi="Arial Narrow"/>
                <w:b/>
                <w:color w:val="000000"/>
              </w:rPr>
              <w:t>RAZEM: 62,5</w:t>
            </w:r>
          </w:p>
          <w:p w14:paraId="64F59C61" w14:textId="77777777" w:rsidR="009E01AF" w:rsidRPr="000B54B8" w:rsidRDefault="009E01AF" w:rsidP="009E01AF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0B54B8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5F70A325" w14:textId="3D7D2D59" w:rsidR="009E01AF" w:rsidRPr="000B54B8" w:rsidRDefault="009E01AF" w:rsidP="009E01AF">
            <w:pPr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9E01AF" w:rsidRPr="000B54B8" w14:paraId="4D761A25" w14:textId="77777777" w:rsidTr="009E01AF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61D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WARUNKI WSTĘPNE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3BB" w14:textId="77777777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Podstawowa wiedza z zakresu identyfikacji indywidualnej i grupowej w badaniach</w:t>
            </w:r>
          </w:p>
          <w:p w14:paraId="4D97A3DC" w14:textId="2C8CA766" w:rsidR="009E01AF" w:rsidRPr="000B54B8" w:rsidRDefault="009E01AF" w:rsidP="009E01AF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color w:val="auto"/>
                <w:sz w:val="20"/>
                <w:szCs w:val="20"/>
              </w:rPr>
              <w:t>Kryminalistycznych</w:t>
            </w:r>
          </w:p>
        </w:tc>
      </w:tr>
      <w:tr w:rsidR="009E01AF" w:rsidRPr="000B54B8" w14:paraId="0A6D5AF1" w14:textId="77777777" w:rsidTr="009E01AF">
        <w:tblPrEx>
          <w:tblCellMar>
            <w:top w:w="28" w:type="dxa"/>
            <w:left w:w="0" w:type="dxa"/>
          </w:tblCellMar>
        </w:tblPrEx>
        <w:trPr>
          <w:trHeight w:val="194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D482" w14:textId="68B2589F" w:rsidR="009E01AF" w:rsidRPr="000B54B8" w:rsidRDefault="009E01AF" w:rsidP="009E01AF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TREŚCI PRZEDMIOTU </w:t>
            </w:r>
          </w:p>
          <w:p w14:paraId="14465B9E" w14:textId="5316C169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03888" w14:textId="77777777" w:rsidR="009E01AF" w:rsidRPr="000B54B8" w:rsidRDefault="009E01AF" w:rsidP="009E01AF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bezpośredniej:</w:t>
            </w:r>
          </w:p>
          <w:p w14:paraId="241DCFF8" w14:textId="532BBD70" w:rsidR="009E01AF" w:rsidRPr="000B54B8" w:rsidRDefault="009E01AF" w:rsidP="009E01AF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Blok I</w:t>
            </w:r>
          </w:p>
          <w:p w14:paraId="78991364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i funkcja kryminalistyki</w:t>
            </w:r>
          </w:p>
          <w:p w14:paraId="2389D320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Podstawowe pojęcia w kryminalistyce</w:t>
            </w:r>
          </w:p>
          <w:p w14:paraId="79752666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Mechanoskopia jako dziedzina identyfikująca ślady narzędzi i innych przedmiotów</w:t>
            </w:r>
          </w:p>
          <w:p w14:paraId="1E4F049A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Zakres badań mechanoskopijnych</w:t>
            </w:r>
          </w:p>
          <w:p w14:paraId="58705100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Formy badań mechanoskopijnych</w:t>
            </w:r>
          </w:p>
          <w:p w14:paraId="67E04AA9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Przykładowe ekspertyzy z dziedziny mechanoskopii</w:t>
            </w:r>
          </w:p>
          <w:p w14:paraId="229D112F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Identyfikacja numeru pojazdów VIN</w:t>
            </w:r>
          </w:p>
          <w:p w14:paraId="7EA8FF1A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Cechy ogólne mikrośladów</w:t>
            </w:r>
          </w:p>
          <w:p w14:paraId="344F9024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Znaczenie dowodowe mikrośladów</w:t>
            </w:r>
          </w:p>
          <w:p w14:paraId="6B598D1E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Miejsca występowania mikrośladów</w:t>
            </w:r>
          </w:p>
          <w:p w14:paraId="6587A225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„Materiał wybuchowy”</w:t>
            </w:r>
          </w:p>
          <w:p w14:paraId="1F645529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Kryterium pochodzenia materiałów wybuchowych</w:t>
            </w:r>
          </w:p>
          <w:p w14:paraId="6723D910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Zjawisko wybuchu fizycznego i chemicznego</w:t>
            </w:r>
          </w:p>
          <w:p w14:paraId="654B2C7A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Zasada ujawniania śladów do badań fizykochemicznych</w:t>
            </w:r>
          </w:p>
          <w:p w14:paraId="0FF63338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Charakterystyka wybranych śladów badanych metodami fizykochemicznymi</w:t>
            </w:r>
          </w:p>
          <w:p w14:paraId="73179839" w14:textId="489AA49A" w:rsidR="009E01AF" w:rsidRPr="000B54B8" w:rsidRDefault="009E01AF" w:rsidP="009E01AF">
            <w:pPr>
              <w:pStyle w:val="Akapitzlist"/>
              <w:spacing w:after="63"/>
              <w:ind w:left="52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Blok II</w:t>
            </w:r>
          </w:p>
          <w:p w14:paraId="6B37BB57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Pojęcie traseologia i rodzaje śladów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traseologicznych</w:t>
            </w:r>
            <w:proofErr w:type="spellEnd"/>
          </w:p>
          <w:p w14:paraId="541AE387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Mechanizm powstawania śladów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traseologicznych</w:t>
            </w:r>
            <w:proofErr w:type="spellEnd"/>
          </w:p>
          <w:p w14:paraId="269793AD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Zasady pobierania śladów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traseologicznych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do badań</w:t>
            </w:r>
          </w:p>
          <w:p w14:paraId="20092153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rękawiczki w kryminalistyce</w:t>
            </w:r>
          </w:p>
          <w:p w14:paraId="19503FF3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Elementy budowy, cechy grupowe i indywidualne rękawiczek</w:t>
            </w:r>
          </w:p>
          <w:p w14:paraId="36B21C1A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Materiał dowodowy i porównawczy w badaniach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gantiskopijnych</w:t>
            </w:r>
            <w:proofErr w:type="spellEnd"/>
          </w:p>
          <w:p w14:paraId="69ECEE94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Klasyfikacja i pojęcie broni palnej</w:t>
            </w:r>
          </w:p>
          <w:p w14:paraId="41899B80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i podział amunicji</w:t>
            </w:r>
          </w:p>
          <w:p w14:paraId="571F6161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Ślady broni palnej</w:t>
            </w:r>
          </w:p>
          <w:p w14:paraId="69E7A4F2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Ujawnianie i zabezpieczanie śladów użycia broni palnej</w:t>
            </w:r>
          </w:p>
          <w:p w14:paraId="76AFC887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Budowa i rozkład pozostałości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powystrzałowych</w:t>
            </w:r>
            <w:proofErr w:type="spellEnd"/>
          </w:p>
          <w:p w14:paraId="50ACE378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Interpretacja wyników badań cząsteczek GSR</w:t>
            </w:r>
          </w:p>
          <w:p w14:paraId="139F5953" w14:textId="3D4D5C13" w:rsidR="009E01AF" w:rsidRPr="000B54B8" w:rsidRDefault="009E01AF" w:rsidP="009E01AF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Blok III</w:t>
            </w:r>
          </w:p>
          <w:p w14:paraId="633279C0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antropometrii kryminalistycznej</w:t>
            </w:r>
          </w:p>
          <w:p w14:paraId="2275A839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Rysopis portret pamięciowy</w:t>
            </w:r>
          </w:p>
          <w:p w14:paraId="6017C9A7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Pewniki naukowe identyfikacji daktyloskopijnej</w:t>
            </w:r>
          </w:p>
          <w:p w14:paraId="0B9FE24A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Metody i środki do ujawniania, kontrastowania śladów linii papilarnych w warunkach laboratoryjnych.</w:t>
            </w:r>
          </w:p>
          <w:p w14:paraId="0FB8E376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lastRenderedPageBreak/>
              <w:t>Rodzaje zbiorów daktyloskopijnych.</w:t>
            </w:r>
          </w:p>
          <w:p w14:paraId="42FAF0A5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„otoskopia kryminalistyczna”</w:t>
            </w:r>
          </w:p>
          <w:p w14:paraId="2FEECE6C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Mechanizm powstawania śladów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otoskopijnych</w:t>
            </w:r>
            <w:proofErr w:type="spellEnd"/>
          </w:p>
          <w:p w14:paraId="7771CEF6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Zasada działania OTOMETRU do pobierania materiału porównawczego.</w:t>
            </w:r>
          </w:p>
          <w:p w14:paraId="641DA961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Możliwości badawcze i cechy indywidualne śladów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cheiloskopijnych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.</w:t>
            </w:r>
          </w:p>
          <w:p w14:paraId="60F7CB5F" w14:textId="02193337" w:rsidR="009E01AF" w:rsidRPr="000B54B8" w:rsidRDefault="009E01AF" w:rsidP="009E01AF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Blok IV</w:t>
            </w:r>
          </w:p>
          <w:p w14:paraId="1D41F340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Kryterium podziału metody ujawniania śladów biologicznych</w:t>
            </w:r>
          </w:p>
          <w:p w14:paraId="061D9BC5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Etapy zabezpieczania śladów biologicznych.</w:t>
            </w:r>
          </w:p>
          <w:p w14:paraId="38ED8CEA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Wnioskowanie na podstawie śladów biologicznych na miejscu zdarzenia.</w:t>
            </w:r>
          </w:p>
          <w:p w14:paraId="0C43B744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Medyczno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- kryminalistyczne ustalenia tożsamości N/N zwłok</w:t>
            </w:r>
          </w:p>
          <w:p w14:paraId="1CDA5F68" w14:textId="77777777" w:rsidR="009E01AF" w:rsidRPr="000B54B8" w:rsidRDefault="009E01AF" w:rsidP="009E01AF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N/N zwłok i szczątków ludzkich</w:t>
            </w:r>
          </w:p>
          <w:p w14:paraId="2F5FD4A4" w14:textId="5A7DED05" w:rsidR="009E01AF" w:rsidRPr="000B54B8" w:rsidRDefault="009E01AF" w:rsidP="009E01AF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e-learning: nie dotyczy</w:t>
            </w:r>
          </w:p>
        </w:tc>
      </w:tr>
      <w:tr w:rsidR="009E01AF" w:rsidRPr="000B54B8" w14:paraId="2AE7155F" w14:textId="77777777" w:rsidTr="009E01AF">
        <w:tblPrEx>
          <w:tblCellMar>
            <w:top w:w="28" w:type="dxa"/>
            <w:left w:w="0" w:type="dxa"/>
          </w:tblCellMar>
        </w:tblPrEx>
        <w:trPr>
          <w:trHeight w:val="539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68E58" w14:textId="77777777" w:rsidR="009E01AF" w:rsidRPr="000B54B8" w:rsidRDefault="009E01AF" w:rsidP="009E01AF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lastRenderedPageBreak/>
              <w:t xml:space="preserve">LITERATURA  </w:t>
            </w:r>
          </w:p>
          <w:p w14:paraId="4DCF81B0" w14:textId="77777777" w:rsidR="009E01AF" w:rsidRPr="000B54B8" w:rsidRDefault="009E01AF" w:rsidP="009E01AF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OBOWIĄZKOWA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AF0DDD" w14:textId="77777777" w:rsidR="009E01AF" w:rsidRPr="000B54B8" w:rsidRDefault="009E01AF" w:rsidP="009E01AF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4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9DF1DE9" w14:textId="77777777" w:rsidR="009E01AF" w:rsidRPr="000B54B8" w:rsidRDefault="009E01AF" w:rsidP="009E01AF">
            <w:pPr>
              <w:pStyle w:val="Akapitzlist"/>
              <w:numPr>
                <w:ilvl w:val="0"/>
                <w:numId w:val="27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Hołyst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B.,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Kryminalistyka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Wydawnictwo Naukowe PWN, 2018.</w:t>
            </w:r>
          </w:p>
          <w:p w14:paraId="2F8B6FE1" w14:textId="77777777" w:rsidR="009E01AF" w:rsidRPr="000B54B8" w:rsidRDefault="009E01AF" w:rsidP="009E01AF">
            <w:pPr>
              <w:pStyle w:val="Akapitzlist"/>
              <w:numPr>
                <w:ilvl w:val="0"/>
                <w:numId w:val="27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Gruza E., Goc M., Moszczyński J.,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Kryminalistyka – czyli rzecz o metodach śledczych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2020.</w:t>
            </w:r>
          </w:p>
          <w:p w14:paraId="6A2B1045" w14:textId="77777777" w:rsidR="009E01AF" w:rsidRPr="000B54B8" w:rsidRDefault="009E01AF" w:rsidP="009E01AF">
            <w:pPr>
              <w:pStyle w:val="Akapitzlist"/>
              <w:numPr>
                <w:ilvl w:val="0"/>
                <w:numId w:val="27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Moszczyński J.,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Ślady kryminalistyczne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2019.</w:t>
            </w:r>
          </w:p>
          <w:p w14:paraId="762CCB0B" w14:textId="75CD9070" w:rsidR="009E01AF" w:rsidRPr="000B54B8" w:rsidRDefault="009E01AF" w:rsidP="009E01AF">
            <w:pPr>
              <w:pStyle w:val="Akapitzlist"/>
              <w:numPr>
                <w:ilvl w:val="0"/>
                <w:numId w:val="27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Frankowski A., Trojanowski P.,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Dobre praktyki technika kryminalistyki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Komenda Główna Policji, 2021.</w:t>
            </w:r>
          </w:p>
          <w:p w14:paraId="5D0BDB40" w14:textId="30CECC4F" w:rsidR="009E01AF" w:rsidRPr="000B54B8" w:rsidRDefault="009E01AF" w:rsidP="009E01AF">
            <w:pPr>
              <w:pStyle w:val="Akapitzlist"/>
              <w:numPr>
                <w:ilvl w:val="0"/>
                <w:numId w:val="27"/>
              </w:numPr>
              <w:spacing w:after="36" w:line="287" w:lineRule="auto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Ustawa z dnia 6 kwietnia 1990 r. o Policji (Dz.U. z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późn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. zm.).</w:t>
            </w:r>
          </w:p>
        </w:tc>
      </w:tr>
      <w:tr w:rsidR="009E01AF" w:rsidRPr="000B54B8" w14:paraId="28C66F24" w14:textId="77777777" w:rsidTr="009E01AF">
        <w:tblPrEx>
          <w:tblCellMar>
            <w:top w:w="28" w:type="dxa"/>
            <w:left w:w="0" w:type="dxa"/>
          </w:tblCellMar>
        </w:tblPrEx>
        <w:trPr>
          <w:trHeight w:val="241"/>
        </w:trPr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B9F4C" w14:textId="77777777" w:rsidR="009E01AF" w:rsidRPr="000B54B8" w:rsidRDefault="009E01AF" w:rsidP="009E01AF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8B12E1" w14:textId="77777777" w:rsidR="009E01AF" w:rsidRPr="000B54B8" w:rsidRDefault="009E01AF" w:rsidP="009E01AF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4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4602DB5" w14:textId="77777777" w:rsidR="009E01AF" w:rsidRPr="000B54B8" w:rsidRDefault="009E01AF" w:rsidP="009E01AF">
            <w:pPr>
              <w:pStyle w:val="Akapitzlist"/>
              <w:numPr>
                <w:ilvl w:val="0"/>
                <w:numId w:val="10"/>
              </w:numPr>
              <w:ind w:left="429" w:hanging="294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</w:tc>
      </w:tr>
      <w:tr w:rsidR="009E01AF" w:rsidRPr="000B54B8" w14:paraId="6F6CFDD3" w14:textId="77777777" w:rsidTr="009E01AF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2919E" w14:textId="77777777" w:rsidR="009E01AF" w:rsidRPr="000B54B8" w:rsidRDefault="009E01AF" w:rsidP="009E01AF">
            <w:pPr>
              <w:spacing w:after="4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7AB9368F" w14:textId="77777777" w:rsidR="009E01AF" w:rsidRPr="000B54B8" w:rsidRDefault="009E01AF" w:rsidP="009E01AF">
            <w:pPr>
              <w:tabs>
                <w:tab w:val="center" w:pos="127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UZUPEŁNIAJĄCA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6EF5D3" w14:textId="77777777" w:rsidR="009E01AF" w:rsidRPr="000B54B8" w:rsidRDefault="009E01AF" w:rsidP="009E01AF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06853F" w14:textId="77777777" w:rsidR="009E01AF" w:rsidRPr="000B54B8" w:rsidRDefault="009E01AF" w:rsidP="009E01AF">
            <w:pPr>
              <w:pStyle w:val="Akapitzlist"/>
              <w:numPr>
                <w:ilvl w:val="0"/>
                <w:numId w:val="28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Bodziak W.,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Daktyloskopia. Metody i zastosowanie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2019.</w:t>
            </w:r>
          </w:p>
          <w:p w14:paraId="0132B1FC" w14:textId="77777777" w:rsidR="009E01AF" w:rsidRPr="000B54B8" w:rsidRDefault="009E01AF" w:rsidP="009E01AF">
            <w:pPr>
              <w:pStyle w:val="Akapitzlist"/>
              <w:numPr>
                <w:ilvl w:val="0"/>
                <w:numId w:val="28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Bodziak W. (red.),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Oględziny miejsca zdarzenia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Warszawa: Wolters Kluwer Polska, 2018.</w:t>
            </w:r>
          </w:p>
          <w:p w14:paraId="10E2B9D6" w14:textId="77777777" w:rsidR="009E01AF" w:rsidRPr="000B54B8" w:rsidRDefault="009E01AF" w:rsidP="009E01AF">
            <w:pPr>
              <w:pStyle w:val="Akapitzlist"/>
              <w:numPr>
                <w:ilvl w:val="0"/>
                <w:numId w:val="28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Kwiatkowska-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Wójcikiewicz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V.,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Zubańska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M. (red.),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</w:rPr>
              <w:t>Współczesna kryminalistyka: wyzwania i zagrożenia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Szczytno: Wydawnictwo Wyższej Szkoły Policji, 2015.</w:t>
            </w:r>
          </w:p>
          <w:p w14:paraId="64FFFD70" w14:textId="77777777" w:rsidR="009E01AF" w:rsidRPr="000B54B8" w:rsidRDefault="009E01AF" w:rsidP="009E01AF">
            <w:pPr>
              <w:pStyle w:val="Akapitzlist"/>
              <w:numPr>
                <w:ilvl w:val="0"/>
                <w:numId w:val="28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Saferstein R.,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Criminalistics: An Introduction to Forensic Science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12th ed., Hoboken: Pearson, 2020.</w:t>
            </w:r>
          </w:p>
          <w:p w14:paraId="3D227EF3" w14:textId="13C2EAC1" w:rsidR="009E01AF" w:rsidRPr="000B54B8" w:rsidRDefault="009E01AF" w:rsidP="009E01AF">
            <w:pPr>
              <w:pStyle w:val="Akapitzlist"/>
              <w:numPr>
                <w:ilvl w:val="0"/>
                <w:numId w:val="28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Houck M. M., Siegel J. A., </w:t>
            </w:r>
            <w:r w:rsidRPr="000B54B8">
              <w:rPr>
                <w:rFonts w:ascii="Arial Narrow" w:eastAsia="Arial" w:hAnsi="Arial Narrow" w:cs="Arial"/>
                <w:i/>
                <w:iCs/>
                <w:color w:val="auto"/>
                <w:sz w:val="20"/>
                <w:szCs w:val="20"/>
                <w:lang w:val="en-US"/>
              </w:rPr>
              <w:t>Fundamentals of Forensic Science</w:t>
            </w: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4th ed., London: Academic Press, 2020.</w:t>
            </w:r>
          </w:p>
        </w:tc>
      </w:tr>
      <w:tr w:rsidR="008F3A0B" w:rsidRPr="000B54B8" w14:paraId="49248509" w14:textId="77777777" w:rsidTr="009E01AF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9AF2D" w14:textId="5DA24B3D" w:rsidR="008F3A0B" w:rsidRPr="000B54B8" w:rsidRDefault="008F3A0B" w:rsidP="009E01AF">
            <w:pPr>
              <w:spacing w:after="47"/>
              <w:ind w:left="70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0B54B8">
              <w:rPr>
                <w:rFonts w:ascii="Arial Narrow" w:hAnsi="Arial Narrow" w:cs="Arial"/>
                <w:b/>
                <w:sz w:val="20"/>
                <w:szCs w:val="20"/>
              </w:rPr>
              <w:t>PUBLIKACJE NAUKOWE OSÓB PROWADZĄCYCH ZAJĘCIA ZWIĄZANE            Z TEMATYKĄ MODUŁU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0219BB" w14:textId="77777777" w:rsidR="008F3A0B" w:rsidRPr="000B54B8" w:rsidRDefault="008F3A0B" w:rsidP="009E01AF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4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A8CC5F" w14:textId="0EE5788F" w:rsidR="008F3A0B" w:rsidRDefault="000B54B8" w:rsidP="000B54B8">
            <w:p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Gąsiorowski, J. (2022). Kryminalistyczna identyfikacja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zeszkieletowanych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zwłok człowieka. W Bezpieczeństwo w kontekście dewiacji społecznych – aspekty kryminologiczne (s. 226–280). Uniwersytet Przyrodniczo-Humanistyczny w Siedlcach.</w:t>
            </w:r>
          </w:p>
          <w:p w14:paraId="144EBD79" w14:textId="2BC7954A" w:rsidR="000B54B8" w:rsidRDefault="000B54B8" w:rsidP="000B54B8">
            <w:p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22B6F28E" w14:textId="77777777" w:rsidR="000B54B8" w:rsidRDefault="000B54B8" w:rsidP="000B54B8">
            <w:p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5CA1E03E" w14:textId="36C8E627" w:rsidR="000B54B8" w:rsidRPr="000B54B8" w:rsidRDefault="000B54B8" w:rsidP="000B54B8">
            <w:p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Gąsiorowski, J. (2024). Kryminalistyka w systemie zwalczania przestępczości. W Nauki o bezpieczeństwie – wybrane problemy (s. 131–177). Akademia Sztuki Wojennej.</w:t>
            </w:r>
          </w:p>
        </w:tc>
      </w:tr>
      <w:tr w:rsidR="009E01AF" w:rsidRPr="000B54B8" w14:paraId="37AE7E75" w14:textId="77777777" w:rsidTr="009E01AF">
        <w:tblPrEx>
          <w:tblCellMar>
            <w:top w:w="28" w:type="dxa"/>
            <w:left w:w="0" w:type="dxa"/>
          </w:tblCellMar>
        </w:tblPrEx>
        <w:trPr>
          <w:trHeight w:val="82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287C8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FCE82" w14:textId="77777777" w:rsidR="009E01AF" w:rsidRPr="000B54B8" w:rsidRDefault="009E01AF" w:rsidP="009E01AF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23CAC" w14:textId="77777777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9E01AF" w:rsidRPr="000B54B8" w14:paraId="666F380A" w14:textId="77777777" w:rsidTr="009E01AF">
        <w:tblPrEx>
          <w:tblCellMar>
            <w:top w:w="28" w:type="dxa"/>
            <w:left w:w="0" w:type="dxa"/>
          </w:tblCellMar>
        </w:tblPrEx>
        <w:trPr>
          <w:trHeight w:val="119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E87" w14:textId="77777777" w:rsidR="009E01AF" w:rsidRPr="000B54B8" w:rsidRDefault="009E01AF" w:rsidP="009E01AF">
            <w:pPr>
              <w:spacing w:after="1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METODY NAUCZANIA </w:t>
            </w:r>
          </w:p>
          <w:p w14:paraId="033DFA96" w14:textId="77777777" w:rsidR="009E01AF" w:rsidRPr="000B54B8" w:rsidRDefault="009E01AF" w:rsidP="009E01AF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C977" w14:textId="2D00B0C6" w:rsidR="009E01AF" w:rsidRPr="000B54B8" w:rsidRDefault="009E01AF" w:rsidP="009E01AF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bezpośredniej:</w:t>
            </w:r>
          </w:p>
          <w:p w14:paraId="5DFA48FD" w14:textId="51BE7FB4" w:rsidR="009E01AF" w:rsidRPr="000B54B8" w:rsidRDefault="009E01AF" w:rsidP="009E01AF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analiza materiałów źródłowych,</w:t>
            </w:r>
          </w:p>
          <w:p w14:paraId="46A15C91" w14:textId="54CA9BA5" w:rsidR="009E01AF" w:rsidRPr="000B54B8" w:rsidRDefault="009E01AF" w:rsidP="009E01AF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Odwołanie się do przypadków zdarzeń doświadczenia służbowego </w:t>
            </w:r>
          </w:p>
          <w:p w14:paraId="0803E4B8" w14:textId="219E07E3" w:rsidR="009E01AF" w:rsidRPr="000B54B8" w:rsidRDefault="009E01AF" w:rsidP="009E01AF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dyskusja, </w:t>
            </w:r>
          </w:p>
          <w:p w14:paraId="38137DE3" w14:textId="77777777" w:rsidR="009E01AF" w:rsidRPr="000B54B8" w:rsidRDefault="009E01AF" w:rsidP="009E01AF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praca w grupach, </w:t>
            </w:r>
          </w:p>
          <w:p w14:paraId="1B8A0574" w14:textId="77777777" w:rsidR="009E01AF" w:rsidRPr="000B54B8" w:rsidRDefault="009E01AF" w:rsidP="009E01AF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prezentacje multimedialne, </w:t>
            </w:r>
          </w:p>
          <w:p w14:paraId="17EB6D4F" w14:textId="5ED13924" w:rsidR="009E01AF" w:rsidRPr="000B54B8" w:rsidRDefault="009E01AF" w:rsidP="009E01AF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ćwiczenia.</w:t>
            </w:r>
          </w:p>
          <w:p w14:paraId="07683341" w14:textId="77777777" w:rsidR="009E01AF" w:rsidRPr="000B54B8" w:rsidRDefault="009E01AF" w:rsidP="009E01AF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1C0E2A08" w14:textId="4382F804" w:rsidR="009E01AF" w:rsidRPr="000B54B8" w:rsidRDefault="009E01AF" w:rsidP="009E01AF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e-learning: nie dotyczy</w:t>
            </w:r>
          </w:p>
        </w:tc>
      </w:tr>
      <w:tr w:rsidR="009E01AF" w:rsidRPr="000B54B8" w14:paraId="3FF90FE5" w14:textId="77777777" w:rsidTr="009E01AF">
        <w:tblPrEx>
          <w:tblCellMar>
            <w:top w:w="28" w:type="dxa"/>
            <w:left w:w="0" w:type="dxa"/>
          </w:tblCellMar>
        </w:tblPrEx>
        <w:trPr>
          <w:trHeight w:val="401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E3E" w14:textId="77777777" w:rsidR="009E01AF" w:rsidRPr="000B54B8" w:rsidRDefault="009E01AF" w:rsidP="009E01AF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POMOCE NAUKOWE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EF7" w14:textId="56406E5F" w:rsidR="009E01AF" w:rsidRPr="000B54B8" w:rsidRDefault="009E01AF" w:rsidP="009E01AF">
            <w:pPr>
              <w:ind w:left="72" w:right="45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Prezentacje multimedialne, protokoły pobrania materiałów porównawczych, pakiety DNA, karty daktyloskopijne, tusze daktyloskopijne, urządzenia </w:t>
            </w:r>
            <w:proofErr w:type="spellStart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otometryczne</w:t>
            </w:r>
            <w:proofErr w:type="spellEnd"/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, sylikon szpatułki, walizka kryminalistyczna z wyposażeniem,</w:t>
            </w:r>
          </w:p>
        </w:tc>
      </w:tr>
      <w:tr w:rsidR="009E01AF" w:rsidRPr="000B54B8" w14:paraId="0C587A1A" w14:textId="77777777" w:rsidTr="009E01AF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8D3" w14:textId="77777777" w:rsidR="009E01AF" w:rsidRPr="000B54B8" w:rsidRDefault="009E01AF" w:rsidP="009E01AF">
            <w:pPr>
              <w:tabs>
                <w:tab w:val="center" w:pos="844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PROJEKT </w:t>
            </w: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F2D" w14:textId="459ADECD" w:rsidR="009E01AF" w:rsidRPr="000B54B8" w:rsidRDefault="009E01AF" w:rsidP="009E01AF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Zabezpieczenie materiału porównawczego do identyfikacji bezpośredniej,</w:t>
            </w:r>
          </w:p>
        </w:tc>
      </w:tr>
      <w:tr w:rsidR="009E01AF" w:rsidRPr="000B54B8" w14:paraId="4AC643FC" w14:textId="77777777" w:rsidTr="009E01AF">
        <w:tblPrEx>
          <w:tblCellMar>
            <w:top w:w="28" w:type="dxa"/>
            <w:left w:w="0" w:type="dxa"/>
          </w:tblCellMar>
        </w:tblPrEx>
        <w:trPr>
          <w:trHeight w:val="80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860" w14:textId="77777777" w:rsidR="009E01AF" w:rsidRPr="000B54B8" w:rsidRDefault="009E01AF" w:rsidP="009E01AF">
            <w:pPr>
              <w:spacing w:after="58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</w:t>
            </w:r>
          </w:p>
          <w:p w14:paraId="6FEF75CD" w14:textId="77777777" w:rsidR="009E01AF" w:rsidRPr="000B54B8" w:rsidRDefault="009E01AF" w:rsidP="009E01AF">
            <w:pPr>
              <w:spacing w:after="58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 WARUNKI </w:t>
            </w:r>
          </w:p>
          <w:p w14:paraId="50872BE3" w14:textId="77777777" w:rsidR="009E01AF" w:rsidRPr="000B54B8" w:rsidRDefault="009E01AF" w:rsidP="009E01AF">
            <w:pPr>
              <w:tabs>
                <w:tab w:val="center" w:pos="104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ZALICZENIA </w:t>
            </w:r>
            <w:r w:rsidRPr="000B54B8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4369" w14:textId="77777777" w:rsidR="009E01AF" w:rsidRPr="000B54B8" w:rsidRDefault="009E01AF" w:rsidP="009E01AF">
            <w:pPr>
              <w:pStyle w:val="Akapitzlist"/>
              <w:numPr>
                <w:ilvl w:val="0"/>
                <w:numId w:val="26"/>
              </w:num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Aktywność podczas ćwiczeń.</w:t>
            </w:r>
          </w:p>
          <w:p w14:paraId="73A23252" w14:textId="11C66312" w:rsidR="009E01AF" w:rsidRPr="000B54B8" w:rsidRDefault="009E01AF" w:rsidP="009E01AF">
            <w:pPr>
              <w:pStyle w:val="Akapitzlist"/>
              <w:numPr>
                <w:ilvl w:val="0"/>
                <w:numId w:val="26"/>
              </w:numPr>
              <w:ind w:right="49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Ćwiczenia – zaliczenie na ocenę w formie pracy w grupach, podczas których zabezpieczane są wybrane ślady kryminalistyczne, a następnie zabezpieczany jest odpowiedni materiał porównawczy.</w:t>
            </w:r>
          </w:p>
          <w:p w14:paraId="42E448B6" w14:textId="0CD5A0DC" w:rsidR="009E01AF" w:rsidRPr="000B54B8" w:rsidRDefault="008F3A0B" w:rsidP="009E01AF">
            <w:pPr>
              <w:pStyle w:val="Akapitzlist"/>
              <w:numPr>
                <w:ilvl w:val="0"/>
                <w:numId w:val="26"/>
              </w:numPr>
              <w:ind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0B54B8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Obecność na zajęciach.</w:t>
            </w:r>
          </w:p>
        </w:tc>
      </w:tr>
    </w:tbl>
    <w:p w14:paraId="332AFA88" w14:textId="77777777" w:rsidR="009C047B" w:rsidRPr="000B54B8" w:rsidRDefault="00E27ECA">
      <w:pPr>
        <w:spacing w:after="22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B54B8">
        <w:rPr>
          <w:rFonts w:ascii="Arial Narrow" w:eastAsia="Arial" w:hAnsi="Arial Narrow" w:cs="Arial"/>
          <w:color w:val="auto"/>
          <w:sz w:val="20"/>
          <w:szCs w:val="20"/>
        </w:rPr>
        <w:t xml:space="preserve"> </w:t>
      </w:r>
    </w:p>
    <w:p w14:paraId="12DA0109" w14:textId="77777777" w:rsidR="009C047B" w:rsidRPr="000B54B8" w:rsidRDefault="00E27ECA">
      <w:pPr>
        <w:spacing w:after="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0B54B8">
        <w:rPr>
          <w:rFonts w:ascii="Arial Narrow" w:hAnsi="Arial Narrow" w:cs="Arial"/>
          <w:color w:val="auto"/>
          <w:sz w:val="20"/>
          <w:szCs w:val="20"/>
        </w:rPr>
        <w:lastRenderedPageBreak/>
        <w:t xml:space="preserve"> </w:t>
      </w:r>
    </w:p>
    <w:sectPr w:rsidR="009C047B" w:rsidRPr="000B54B8">
      <w:pgSz w:w="11906" w:h="16838"/>
      <w:pgMar w:top="128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A32"/>
    <w:multiLevelType w:val="hybridMultilevel"/>
    <w:tmpl w:val="632CF26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C92EC4"/>
    <w:multiLevelType w:val="hybridMultilevel"/>
    <w:tmpl w:val="7E840394"/>
    <w:lvl w:ilvl="0" w:tplc="D0AC008E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95C42B8"/>
    <w:multiLevelType w:val="hybridMultilevel"/>
    <w:tmpl w:val="A4A86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694A"/>
    <w:multiLevelType w:val="hybridMultilevel"/>
    <w:tmpl w:val="3316554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E04"/>
    <w:multiLevelType w:val="hybridMultilevel"/>
    <w:tmpl w:val="36C24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E2459"/>
    <w:multiLevelType w:val="hybridMultilevel"/>
    <w:tmpl w:val="8294DAC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FBB70C6"/>
    <w:multiLevelType w:val="hybridMultilevel"/>
    <w:tmpl w:val="58C88A92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70AE0"/>
    <w:multiLevelType w:val="hybridMultilevel"/>
    <w:tmpl w:val="C2B6430E"/>
    <w:lvl w:ilvl="0" w:tplc="0415000F">
      <w:start w:val="1"/>
      <w:numFmt w:val="decimal"/>
      <w:lvlText w:val="%1."/>
      <w:lvlJc w:val="left"/>
      <w:pPr>
        <w:ind w:left="83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2E786463"/>
    <w:multiLevelType w:val="hybridMultilevel"/>
    <w:tmpl w:val="FD10E8A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331E3CD2"/>
    <w:multiLevelType w:val="hybridMultilevel"/>
    <w:tmpl w:val="04E872B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746BB"/>
    <w:multiLevelType w:val="hybridMultilevel"/>
    <w:tmpl w:val="488EF3A0"/>
    <w:lvl w:ilvl="0" w:tplc="03EE17A8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0FE42">
      <w:start w:val="1"/>
      <w:numFmt w:val="bullet"/>
      <w:lvlText w:val="o"/>
      <w:lvlJc w:val="left"/>
      <w:pPr>
        <w:ind w:left="2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EF0C8">
      <w:start w:val="1"/>
      <w:numFmt w:val="bullet"/>
      <w:lvlText w:val="▪"/>
      <w:lvlJc w:val="left"/>
      <w:pPr>
        <w:ind w:left="2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6EED0">
      <w:start w:val="1"/>
      <w:numFmt w:val="bullet"/>
      <w:lvlText w:val="•"/>
      <w:lvlJc w:val="left"/>
      <w:pPr>
        <w:ind w:left="3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BA82">
      <w:start w:val="1"/>
      <w:numFmt w:val="bullet"/>
      <w:lvlText w:val="o"/>
      <w:lvlJc w:val="left"/>
      <w:pPr>
        <w:ind w:left="4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5853AC">
      <w:start w:val="1"/>
      <w:numFmt w:val="bullet"/>
      <w:lvlText w:val="▪"/>
      <w:lvlJc w:val="left"/>
      <w:pPr>
        <w:ind w:left="4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6C0BA">
      <w:start w:val="1"/>
      <w:numFmt w:val="bullet"/>
      <w:lvlText w:val="•"/>
      <w:lvlJc w:val="left"/>
      <w:pPr>
        <w:ind w:left="5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0974E">
      <w:start w:val="1"/>
      <w:numFmt w:val="bullet"/>
      <w:lvlText w:val="o"/>
      <w:lvlJc w:val="left"/>
      <w:pPr>
        <w:ind w:left="6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CAA24">
      <w:start w:val="1"/>
      <w:numFmt w:val="bullet"/>
      <w:lvlText w:val="▪"/>
      <w:lvlJc w:val="left"/>
      <w:pPr>
        <w:ind w:left="7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F0F8B"/>
    <w:multiLevelType w:val="hybridMultilevel"/>
    <w:tmpl w:val="E70096D6"/>
    <w:lvl w:ilvl="0" w:tplc="D0AC008E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38D63A46"/>
    <w:multiLevelType w:val="hybridMultilevel"/>
    <w:tmpl w:val="B4E64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46A1"/>
    <w:multiLevelType w:val="hybridMultilevel"/>
    <w:tmpl w:val="C7D8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E558B"/>
    <w:multiLevelType w:val="hybridMultilevel"/>
    <w:tmpl w:val="E1FAE7F0"/>
    <w:lvl w:ilvl="0" w:tplc="D0AC008E">
      <w:start w:val="1"/>
      <w:numFmt w:val="bullet"/>
      <w:lvlText w:val="•"/>
      <w:lvlJc w:val="left"/>
      <w:pPr>
        <w:ind w:left="86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43E441E4"/>
    <w:multiLevelType w:val="hybridMultilevel"/>
    <w:tmpl w:val="6E16BB1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4A2C437C"/>
    <w:multiLevelType w:val="hybridMultilevel"/>
    <w:tmpl w:val="330A936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AAB4B0F"/>
    <w:multiLevelType w:val="hybridMultilevel"/>
    <w:tmpl w:val="99B8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922C9"/>
    <w:multiLevelType w:val="hybridMultilevel"/>
    <w:tmpl w:val="64AA59BA"/>
    <w:lvl w:ilvl="0" w:tplc="89029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6B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E6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2F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662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804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43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BA81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4002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4353AE4"/>
    <w:multiLevelType w:val="hybridMultilevel"/>
    <w:tmpl w:val="1B5CF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F0EC4"/>
    <w:multiLevelType w:val="hybridMultilevel"/>
    <w:tmpl w:val="51E2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C2264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5331B79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C8F0296"/>
    <w:multiLevelType w:val="hybridMultilevel"/>
    <w:tmpl w:val="C602CC86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4" w15:restartNumberingAfterBreak="0">
    <w:nsid w:val="72A73B22"/>
    <w:multiLevelType w:val="hybridMultilevel"/>
    <w:tmpl w:val="92380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369D6"/>
    <w:multiLevelType w:val="hybridMultilevel"/>
    <w:tmpl w:val="28603C26"/>
    <w:lvl w:ilvl="0" w:tplc="0415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6" w15:restartNumberingAfterBreak="0">
    <w:nsid w:val="79E9281F"/>
    <w:multiLevelType w:val="hybridMultilevel"/>
    <w:tmpl w:val="B51CAB22"/>
    <w:lvl w:ilvl="0" w:tplc="D0AC008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0D8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E0E9A4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B25D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E12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E64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A592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AC82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0D92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B800A4"/>
    <w:multiLevelType w:val="hybridMultilevel"/>
    <w:tmpl w:val="7E98EB64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5"/>
  </w:num>
  <w:num w:numId="5">
    <w:abstractNumId w:val="16"/>
  </w:num>
  <w:num w:numId="6">
    <w:abstractNumId w:val="24"/>
  </w:num>
  <w:num w:numId="7">
    <w:abstractNumId w:val="21"/>
  </w:num>
  <w:num w:numId="8">
    <w:abstractNumId w:val="22"/>
  </w:num>
  <w:num w:numId="9">
    <w:abstractNumId w:val="17"/>
  </w:num>
  <w:num w:numId="10">
    <w:abstractNumId w:val="2"/>
  </w:num>
  <w:num w:numId="11">
    <w:abstractNumId w:val="23"/>
  </w:num>
  <w:num w:numId="12">
    <w:abstractNumId w:val="18"/>
  </w:num>
  <w:num w:numId="13">
    <w:abstractNumId w:val="27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14"/>
  </w:num>
  <w:num w:numId="19">
    <w:abstractNumId w:val="11"/>
  </w:num>
  <w:num w:numId="20">
    <w:abstractNumId w:val="8"/>
  </w:num>
  <w:num w:numId="21">
    <w:abstractNumId w:val="25"/>
  </w:num>
  <w:num w:numId="22">
    <w:abstractNumId w:val="13"/>
  </w:num>
  <w:num w:numId="23">
    <w:abstractNumId w:val="0"/>
  </w:num>
  <w:num w:numId="24">
    <w:abstractNumId w:val="12"/>
  </w:num>
  <w:num w:numId="25">
    <w:abstractNumId w:val="19"/>
  </w:num>
  <w:num w:numId="26">
    <w:abstractNumId w:val="15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7B"/>
    <w:rsid w:val="00024326"/>
    <w:rsid w:val="000A2717"/>
    <w:rsid w:val="000B54B8"/>
    <w:rsid w:val="00142F50"/>
    <w:rsid w:val="001B0792"/>
    <w:rsid w:val="001F5CE1"/>
    <w:rsid w:val="00210F69"/>
    <w:rsid w:val="00274241"/>
    <w:rsid w:val="002F6E1A"/>
    <w:rsid w:val="00383DE2"/>
    <w:rsid w:val="00384556"/>
    <w:rsid w:val="003F7F79"/>
    <w:rsid w:val="004074B0"/>
    <w:rsid w:val="004A47D1"/>
    <w:rsid w:val="004D25FC"/>
    <w:rsid w:val="00522A53"/>
    <w:rsid w:val="00560A63"/>
    <w:rsid w:val="00587529"/>
    <w:rsid w:val="005F2D29"/>
    <w:rsid w:val="007240D3"/>
    <w:rsid w:val="0074065F"/>
    <w:rsid w:val="007958E4"/>
    <w:rsid w:val="00820DFE"/>
    <w:rsid w:val="0088473C"/>
    <w:rsid w:val="008C6D74"/>
    <w:rsid w:val="008F3A0B"/>
    <w:rsid w:val="009A1BFB"/>
    <w:rsid w:val="009B3CD4"/>
    <w:rsid w:val="009C047B"/>
    <w:rsid w:val="009C239D"/>
    <w:rsid w:val="009E01AF"/>
    <w:rsid w:val="009E39F5"/>
    <w:rsid w:val="00A24DD8"/>
    <w:rsid w:val="00AB08C9"/>
    <w:rsid w:val="00B05377"/>
    <w:rsid w:val="00B300C1"/>
    <w:rsid w:val="00B5652E"/>
    <w:rsid w:val="00B6288B"/>
    <w:rsid w:val="00B93E64"/>
    <w:rsid w:val="00BF4705"/>
    <w:rsid w:val="00C93F01"/>
    <w:rsid w:val="00CE79C4"/>
    <w:rsid w:val="00DA0D05"/>
    <w:rsid w:val="00DA1074"/>
    <w:rsid w:val="00E27B8E"/>
    <w:rsid w:val="00E27ECA"/>
    <w:rsid w:val="00E41E92"/>
    <w:rsid w:val="00E54D95"/>
    <w:rsid w:val="00F32E5F"/>
    <w:rsid w:val="00F65FEF"/>
    <w:rsid w:val="00F920B3"/>
    <w:rsid w:val="00F9733B"/>
    <w:rsid w:val="00F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4C7"/>
  <w15:docId w15:val="{69FD9857-2892-4AD7-956D-F1D3D86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2F6E1A"/>
    <w:rPr>
      <w:color w:val="0000FF"/>
      <w:u w:val="single"/>
    </w:rPr>
  </w:style>
  <w:style w:type="character" w:customStyle="1" w:styleId="text3">
    <w:name w:val="text3"/>
    <w:basedOn w:val="Domylnaczcionkaakapitu"/>
    <w:rsid w:val="002F6E1A"/>
  </w:style>
  <w:style w:type="paragraph" w:styleId="Akapitzlist">
    <w:name w:val="List Paragraph"/>
    <w:basedOn w:val="Normalny"/>
    <w:uiPriority w:val="34"/>
    <w:qFormat/>
    <w:rsid w:val="00B300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E01A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E01A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E9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E9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92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41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2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0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F2CF9-A27C-4081-B831-ED67F5AD8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F87C0-B39A-413F-A926-62A59B252060}">
  <ds:schemaRefs>
    <ds:schemaRef ds:uri="http://www.w3.org/XML/1998/namespace"/>
    <ds:schemaRef ds:uri="http://schemas.microsoft.com/office/2006/documentManagement/types"/>
    <ds:schemaRef ds:uri="f01d9994-bda5-4270-a393-4ba3611525be"/>
    <ds:schemaRef ds:uri="http://schemas.microsoft.com/office/2006/metadata/properties"/>
    <ds:schemaRef ds:uri="http://purl.org/dc/elements/1.1/"/>
    <ds:schemaRef ds:uri="http://purl.org/dc/dcmitype/"/>
    <ds:schemaRef ds:uri="c9833005-7ead-4b91-8390-c861ccb1033c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5E0173-7DA9-4FF9-96A4-3A5DA5892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3</cp:revision>
  <dcterms:created xsi:type="dcterms:W3CDTF">2026-03-11T13:28:00Z</dcterms:created>
  <dcterms:modified xsi:type="dcterms:W3CDTF">2026-03-11T13:28:00Z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