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02"/>
        <w:gridCol w:w="74"/>
        <w:gridCol w:w="1060"/>
        <w:gridCol w:w="1134"/>
        <w:gridCol w:w="1134"/>
        <w:gridCol w:w="1559"/>
        <w:gridCol w:w="1349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50EA4D0D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5A7666" w:rsidRPr="005A766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4A88AE00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5A7666" w:rsidRPr="005A766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Komunikacja marketingowa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B47CCA" w14:paraId="09083DAA" w14:textId="77777777" w:rsidTr="00B77797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7F731744" w:rsidR="00B47CCA" w:rsidRDefault="00B47CCA" w:rsidP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B47CCA" w14:paraId="167A7C8E" w14:textId="77777777" w:rsidTr="00B77797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B47CCA" w:rsidRDefault="00B4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173E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FF4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40E413" w14:textId="3A2B375E" w:rsidR="00B47CCA" w:rsidRPr="00B47CCA" w:rsidRDefault="00B47CCA" w:rsidP="0037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B47CC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VI</w:t>
            </w:r>
          </w:p>
        </w:tc>
      </w:tr>
      <w:tr w:rsidR="00B47CCA" w14:paraId="22453706" w14:textId="77777777" w:rsidTr="003720C3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459CED7B" w:rsidR="00B47CCA" w:rsidRDefault="00B47CCA" w:rsidP="005A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CBFE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6F7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C2AC" w14:textId="43FD34AE" w:rsidR="00B47CCA" w:rsidRPr="00B47CCA" w:rsidRDefault="00B47CCA" w:rsidP="0082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B47CCA" w14:paraId="0519E4B4" w14:textId="77777777" w:rsidTr="003720C3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B47CCA" w:rsidRDefault="00B47C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304F6C2A" w:rsidR="00B47CCA" w:rsidRDefault="00B47CCA" w:rsidP="005A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93AC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E5F" w14:textId="77777777" w:rsid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F2D674" w14:textId="52465737" w:rsidR="00B47CCA" w:rsidRPr="00B47CCA" w:rsidRDefault="00B4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B47CC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B47CC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ćw</w:t>
            </w:r>
            <w:proofErr w:type="spellEnd"/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32C01815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27A72515" w:rsidR="00E604CA" w:rsidRDefault="005A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0DD" w14:textId="05386C48" w:rsidR="00E604CA" w:rsidRDefault="005A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A766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Celem przedmiotu jest zapoznanie studentów z istotą i rolą komunikacji marketingowej w przedsiębiorstwie, modelami komunikacji i narzędziami realizacji komunikacji. Studenci zdobędą umiejętności oceny merytorycznej i posługiwania się narzędziami komunikacji w praktyce.</w:t>
            </w:r>
          </w:p>
        </w:tc>
      </w:tr>
      <w:tr w:rsidR="00E604CA" w14:paraId="10983E6D" w14:textId="77777777" w:rsidTr="00B77797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B77797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B7779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3E3" w14:textId="71EC37FD" w:rsidR="00E604CA" w:rsidRDefault="006D56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3694811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  <w:p w14:paraId="7A285179" w14:textId="4E1D5974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2B6F2E9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 zakończeniu zajęć wymienia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definiuje główne nurty 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zarządzania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przedsiębiorstwem, związane m.in. z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budowaniem marki, reklamą, public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relations, promocją sprzedaży oraz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marketingiem bezpośrednim. 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8F1" w14:textId="1FBD779E" w:rsidR="00E604CA" w:rsidRDefault="006D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</w:tc>
      </w:tr>
      <w:tr w:rsidR="003F5B20" w14:paraId="55C2BB60" w14:textId="77777777" w:rsidTr="00B7779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905" w14:textId="6DB83BAC" w:rsidR="003F5B20" w:rsidRDefault="008438B0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9DF6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57C4612B" w14:textId="67D0B2F1" w:rsidR="003F5B20" w:rsidRDefault="003F5B20" w:rsidP="0084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0277" w14:textId="1A723D69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zna w zaawansowanym stopniu klasyczne 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metody i narzędzia gromadzenia, analizy i prezentacji danych społecznych, które są istotne dla działań związanych z badaniami rynkowymi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czy</w:t>
            </w:r>
            <w:r w:rsidR="008438B0" w:rsidRP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analizą </w:t>
            </w:r>
            <w:r w:rsidR="008438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działań komunikacji marketingowej.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F70" w14:textId="1B2E19AD" w:rsidR="003F5B20" w:rsidRDefault="006D56A1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 w:rsidTr="00B7779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87A" w14:textId="3F9829C4" w:rsidR="003F5B20" w:rsidRDefault="00BD43FE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11309C87" w14:textId="3D32EEF5" w:rsidR="003F5B20" w:rsidRDefault="003F5B20" w:rsidP="00BD4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59BDF4B9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potrafi swobodnie </w:t>
            </w:r>
            <w:r w:rsidR="00BD43FE"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identyfikowa</w:t>
            </w:r>
            <w:r w:rsid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 w:rsidR="00BD43FE"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analizowa</w:t>
            </w:r>
            <w:r w:rsid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ć </w:t>
            </w:r>
            <w:r w:rsidR="00BD43FE"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 interpretowa</w:t>
            </w:r>
            <w:r w:rsid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 w:rsidR="00BD43FE"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przyczyn</w:t>
            </w:r>
            <w:r w:rsid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 w:rsidR="00BD43FE"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przebiegu i skutk</w:t>
            </w:r>
            <w:r w:rsid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BD43FE" w:rsidRP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procesów związanych z budowaniem marki, reklamą, public relations, promocją sprzedaży oraz marketingiem bezpośrednim.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D10" w14:textId="74DA7E1A" w:rsidR="003F5B20" w:rsidRDefault="006D56A1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</w:tc>
      </w:tr>
    </w:tbl>
    <w:p w14:paraId="2B3B1535" w14:textId="77777777" w:rsidR="006A227A" w:rsidRDefault="006A227A" w:rsidP="00B47CCA">
      <w:pPr>
        <w:ind w:leftChars="0" w:left="0" w:firstLineChars="0" w:firstLine="0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71E50D33" w:rsidR="00E604CA" w:rsidRPr="009846B4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846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T_K0</w:t>
            </w:r>
            <w:r w:rsidR="00BD43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77BCF56B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uznawania roli wiedzy </w:t>
            </w:r>
            <w:r w:rsidR="00785D8D"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 zakresu </w:t>
            </w:r>
            <w:r w:rsid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komunikacji marketingowej</w:t>
            </w:r>
            <w:r w:rsidR="00785D8D"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</w:t>
            </w:r>
            <w:r w:rsid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budowaniu wizerunku organizacji.</w:t>
            </w:r>
            <w:r w:rsidR="00785D8D"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ED0" w14:textId="2184DE6B" w:rsidR="00E604CA" w:rsidRDefault="006D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D56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pisemny, aktywność podczas zajęć.</w:t>
            </w: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187294C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74DF6FAB" w14:textId="5D78952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ćwiczeniach =</w:t>
            </w:r>
            <w:r w:rsidR="00627E1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3ACBD85A" w14:textId="29E3D12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6A3CAC5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2C2B9E0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2059F4DE" w14:textId="14219B35" w:rsidR="00B77797" w:rsidRDefault="00B7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34AC00A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6B058EF8" w:rsidR="00E604CA" w:rsidRDefault="00EC4038" w:rsidP="00B7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inne  </w:t>
            </w:r>
            <w:r w:rsidR="00B7779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(praca własna)  = </w:t>
            </w:r>
          </w:p>
          <w:p w14:paraId="7E4B540C" w14:textId="7FF12A4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  <w:r w:rsidR="00627E1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2AE45954" w14:textId="61EECBE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627E1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1543C6DB" w14:textId="37EA75F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2E79D65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16A3352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627E1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</w:t>
            </w:r>
            <w:r w:rsidR="00B7779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1B6A71A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368A940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59B541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19A0954B" w14:textId="357F548E" w:rsidR="00B77797" w:rsidRDefault="00B7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 = 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7D5E42A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34CF9249" w14:textId="24077A45" w:rsidR="00E604CA" w:rsidRPr="00B77797" w:rsidRDefault="00EC4038" w:rsidP="00B7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B7779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36 h</w:t>
            </w:r>
          </w:p>
          <w:p w14:paraId="1A2BC4DA" w14:textId="654413D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627E1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50</w:t>
            </w:r>
          </w:p>
          <w:p w14:paraId="1C2B99DE" w14:textId="7FB9F45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627E1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6F8CC8D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627E1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  <w:r w:rsidR="003417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45781E2C" w:rsidR="00E604CA" w:rsidRDefault="00B77797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Znajomość podstaw komunikacji.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2901" w14:textId="77777777" w:rsidR="003720C3" w:rsidRDefault="003720C3" w:rsidP="003720C3">
            <w:pPr>
              <w:pStyle w:val="Akapitzlist"/>
              <w:spacing w:line="240" w:lineRule="auto"/>
              <w:ind w:leftChars="0" w:left="2" w:hanging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bezpośredniej:</w:t>
            </w:r>
          </w:p>
          <w:p w14:paraId="7946EE7E" w14:textId="77777777" w:rsidR="003720C3" w:rsidRDefault="003720C3" w:rsidP="003720C3">
            <w:pPr>
              <w:pStyle w:val="Akapitzlist"/>
              <w:spacing w:line="240" w:lineRule="auto"/>
              <w:ind w:leftChars="0" w:left="2" w:hanging="2"/>
              <w:rPr>
                <w:rFonts w:ascii="Arial Narrow" w:hAnsi="Arial Narrow"/>
                <w:sz w:val="20"/>
                <w:szCs w:val="20"/>
              </w:rPr>
            </w:pPr>
          </w:p>
          <w:p w14:paraId="31383D9A" w14:textId="77777777" w:rsidR="003720C3" w:rsidRDefault="003720C3" w:rsidP="003720C3">
            <w:pPr>
              <w:pStyle w:val="Akapitzlist"/>
              <w:spacing w:line="240" w:lineRule="auto"/>
              <w:ind w:leftChars="0" w:left="2" w:hanging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Ćwiczenia: </w:t>
            </w:r>
          </w:p>
          <w:p w14:paraId="55A01117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Wprowadzenie do komunikacji marketingowej </w:t>
            </w:r>
          </w:p>
          <w:p w14:paraId="78BC7884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Uwarunkowania komunikacji marketingowej</w:t>
            </w:r>
          </w:p>
          <w:p w14:paraId="716865FF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Planowanie strategiczne w komunikacji marketingowej</w:t>
            </w:r>
          </w:p>
          <w:p w14:paraId="4D1DE631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Modele komunikacji marketingowej </w:t>
            </w:r>
          </w:p>
          <w:p w14:paraId="0F14B7B3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Formy komunikacji interpersonalnej i masowej</w:t>
            </w:r>
          </w:p>
          <w:p w14:paraId="28D815F6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Narzędzia komunikacji marketingowej </w:t>
            </w:r>
          </w:p>
          <w:p w14:paraId="04CF403C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Kształtowanie kampanii komunikacji marketingowej</w:t>
            </w:r>
          </w:p>
          <w:p w14:paraId="1DDFE450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rPr>
                <w:rFonts w:ascii="Arial Narrow" w:hAnsi="Arial Narrow"/>
                <w:sz w:val="20"/>
              </w:rPr>
              <w:t>Pomiary efektywności i analityka w komunikacji marketingowej</w:t>
            </w:r>
          </w:p>
          <w:p w14:paraId="3146927A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Znaczenie komunikacji cyfrowej oraz media społecznościowe</w:t>
            </w:r>
          </w:p>
          <w:p w14:paraId="7B6E1BBF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Wykorzystanie sztucznej inteligencji w komunikacji marketingowej </w:t>
            </w:r>
          </w:p>
          <w:p w14:paraId="4A2B6EE3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Analiza trendów i wyzwań stojących przed komunikacją marketingową </w:t>
            </w:r>
          </w:p>
          <w:p w14:paraId="7F49E815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Analiza studiów przypadku – analiza komunikacji marketingowej wybranych firm  </w:t>
            </w:r>
          </w:p>
          <w:p w14:paraId="515963DD" w14:textId="77777777" w:rsidR="003720C3" w:rsidRDefault="003720C3" w:rsidP="003720C3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Prezentacja, dyskusja i omówienie prac własnych </w:t>
            </w:r>
          </w:p>
          <w:p w14:paraId="6D590766" w14:textId="77777777" w:rsidR="003720C3" w:rsidRDefault="003720C3" w:rsidP="003720C3">
            <w:pPr>
              <w:pStyle w:val="Akapitzlist"/>
              <w:spacing w:line="240" w:lineRule="auto"/>
              <w:ind w:leftChars="0" w:left="2" w:hanging="2"/>
              <w:rPr>
                <w:rFonts w:ascii="Arial Narrow" w:hAnsi="Arial Narrow"/>
                <w:sz w:val="20"/>
              </w:rPr>
            </w:pPr>
          </w:p>
          <w:p w14:paraId="46F268D5" w14:textId="0B7DC666" w:rsidR="00E604CA" w:rsidRDefault="003720C3" w:rsidP="0037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Treści realizowane w formie e – learning: nie dotyczy</w:t>
            </w:r>
          </w:p>
        </w:tc>
      </w:tr>
      <w:tr w:rsidR="00E604CA" w:rsidRPr="0050425B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EA0A" w14:textId="33CFD2B0" w:rsidR="00202A00" w:rsidRPr="00202A00" w:rsidRDefault="00202A00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02A0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Łaszkiewicz A., </w:t>
            </w:r>
            <w:r w:rsidRPr="00BC5E0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Współtworzenie wartości z konsumentami w środowisku wirtualnym</w:t>
            </w:r>
            <w:r w:rsidRPr="00202A0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Uniwersytet Łódzki 2018.</w:t>
            </w:r>
          </w:p>
          <w:p w14:paraId="42966404" w14:textId="783E3F36" w:rsidR="00E604CA" w:rsidRPr="00202A00" w:rsidRDefault="00202A00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202A0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Hooley G. i in., </w:t>
            </w:r>
            <w:r w:rsidRPr="00BC5E0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Marketing Strategy and Competitive Positioning, 7th Edition</w:t>
            </w:r>
            <w:r w:rsidRPr="00202A00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, PEARSON Education Limited 2020.</w:t>
            </w:r>
          </w:p>
        </w:tc>
      </w:tr>
      <w:tr w:rsidR="00E604CA" w:rsidRPr="0050425B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44A3" w14:textId="73BD48CC" w:rsidR="00BE5689" w:rsidRPr="003720C3" w:rsidRDefault="00BE5689" w:rsidP="003720C3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Wiktor J. W., </w:t>
            </w:r>
            <w:r w:rsidRPr="003720C3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Promocja. System komunikacji przedsiębiorstwa z rynkiem</w:t>
            </w:r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PWN, Warszawa 2006</w:t>
            </w:r>
          </w:p>
          <w:p w14:paraId="1BCEF968" w14:textId="30F3D509" w:rsidR="00BE5689" w:rsidRPr="003720C3" w:rsidRDefault="00BE5689" w:rsidP="003720C3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Blythe</w:t>
            </w:r>
            <w:proofErr w:type="spellEnd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J., </w:t>
            </w:r>
            <w:r w:rsidRPr="003720C3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Komunikacja marketingowa</w:t>
            </w:r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PWE, Warszawa 2002</w:t>
            </w:r>
          </w:p>
          <w:p w14:paraId="7B39690B" w14:textId="77777777" w:rsidR="008438B0" w:rsidRPr="003720C3" w:rsidRDefault="00BE5689" w:rsidP="003720C3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3720C3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Komunikacja marketingowa. Instrumenty i metody</w:t>
            </w:r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praca </w:t>
            </w:r>
            <w:proofErr w:type="spellStart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zb.</w:t>
            </w:r>
            <w:proofErr w:type="spellEnd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pod red. B. </w:t>
            </w:r>
            <w:proofErr w:type="spellStart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Szymoniuk</w:t>
            </w:r>
            <w:proofErr w:type="spellEnd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PWE, Warszawa 2006</w:t>
            </w:r>
            <w:r w:rsidR="00EC4038"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57F1CA8F" w14:textId="77777777" w:rsidR="00BE5689" w:rsidRDefault="008438B0" w:rsidP="003720C3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Charlesworth A., Digital Marketing. A Practical Approach, Routledge, </w:t>
            </w:r>
            <w:proofErr w:type="spellStart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Londyn</w:t>
            </w:r>
            <w:proofErr w:type="spellEnd"/>
            <w:r w:rsidRPr="003720C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2022.</w:t>
            </w:r>
          </w:p>
          <w:p w14:paraId="2946502F" w14:textId="77777777" w:rsidR="003720C3" w:rsidRDefault="003720C3" w:rsidP="003720C3">
            <w:pPr>
              <w:numPr>
                <w:ilvl w:val="0"/>
                <w:numId w:val="9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Seliga, R., &amp; Sułkowski, Ł. (2018). 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Brand Management in University Mergers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. 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In </w:t>
            </w:r>
            <w:proofErr w:type="spellStart"/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ICoM</w:t>
            </w:r>
            <w:proofErr w:type="spellEnd"/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2018 8th INTERNATIONAL CONFERENCE ON MANAGEMENT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 (p. 545).</w:t>
            </w:r>
          </w:p>
          <w:p w14:paraId="097ED718" w14:textId="77777777" w:rsidR="003720C3" w:rsidRDefault="003720C3" w:rsidP="003720C3">
            <w:pPr>
              <w:numPr>
                <w:ilvl w:val="0"/>
                <w:numId w:val="9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 xml:space="preserve">Ignatowski, G., Sułkowski, Ł., &amp; Seliga, R. (2020). 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Brand Management of </w:t>
            </w:r>
            <w:proofErr w:type="spellStart"/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Catholic</w:t>
            </w:r>
            <w:proofErr w:type="spellEnd"/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Church in Poland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Religions</w:t>
            </w:r>
            <w:proofErr w:type="spellEnd"/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(11), 607.</w:t>
            </w:r>
          </w:p>
          <w:p w14:paraId="620E7A26" w14:textId="77777777" w:rsidR="003720C3" w:rsidRDefault="003720C3" w:rsidP="003720C3">
            <w:pPr>
              <w:numPr>
                <w:ilvl w:val="0"/>
                <w:numId w:val="9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Sulkowski, L., Ignatowski, G., &amp; Seliga, R. (2022). 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Public relations in the perspective of the Catholic church in Poland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. </w:t>
            </w:r>
            <w:proofErr w:type="spellStart"/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Religions</w:t>
            </w:r>
            <w:proofErr w:type="spellEnd"/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13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(2), 115.</w:t>
            </w:r>
          </w:p>
          <w:p w14:paraId="6070FA1D" w14:textId="77777777" w:rsidR="003720C3" w:rsidRDefault="003720C3" w:rsidP="003720C3">
            <w:pPr>
              <w:numPr>
                <w:ilvl w:val="0"/>
                <w:numId w:val="9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Sułkowski, Ł., &amp; Seliga, R. (2019). 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Internacjonalizacja i marketing uniwersytetów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 xml:space="preserve">. Kraków: Wydawnictwo Uniwersytetu Jagiellońskiego. </w:t>
            </w:r>
          </w:p>
          <w:p w14:paraId="77FDDF1A" w14:textId="69382378" w:rsidR="003720C3" w:rsidRPr="003720C3" w:rsidRDefault="003720C3" w:rsidP="003720C3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Sulkowski, L., Seliga, R., &amp; Wozniak, A. (2020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Image and brand awareness in universities in consolidation processes. 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In Advances in Human Factors</w:t>
            </w:r>
            <w:r>
              <w:rPr>
                <w:rFonts w:ascii="Arial Narrow" w:hAnsi="Arial Narrow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, Business Management and Leadership: Proceedings of the AHFE 2019 International Conference on Human Factors, Business Management and Society, and the AHFE International Conference on Human Factors in Management and Leadership, July 24-28, 2019, Washington DC, USA 10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 (pp. 608-615). </w:t>
            </w:r>
            <w:r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Springer International Publishing.</w:t>
            </w:r>
          </w:p>
        </w:tc>
      </w:tr>
      <w:tr w:rsidR="00E604CA" w:rsidRPr="00BC5E09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lastRenderedPageBreak/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CC6" w14:textId="25F3D00D" w:rsidR="00E604CA" w:rsidRPr="00BC5E09" w:rsidRDefault="00BC5E09" w:rsidP="00BC5E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Bekus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T.</w:t>
            </w:r>
            <w:r w:rsidRP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BC5E0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Strategie komunikacji marketingowej na globalnym rynku smartfonów</w:t>
            </w:r>
            <w:r w:rsidRP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BC5E0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Współczesne problemy badawcze nauk o zarządzaniu i jakości z perspektywy młodych naukowców</w:t>
            </w:r>
            <w:r w:rsidRP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pod. red. nauk. M. Lisińskiego, J. </w:t>
            </w:r>
            <w:proofErr w:type="spellStart"/>
            <w:r w:rsidRP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Dzieńdziory</w:t>
            </w:r>
            <w:proofErr w:type="spellEnd"/>
            <w:r w:rsidRP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M. Wróbel, Wydawnictwo Naukowe Akademii WSB, Dąbrowa Górnicza 2020, s. 74-87.</w:t>
            </w:r>
          </w:p>
        </w:tc>
      </w:tr>
      <w:tr w:rsidR="00E604CA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67C61C0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</w:t>
            </w:r>
            <w:r w:rsid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:</w:t>
            </w:r>
          </w:p>
          <w:p w14:paraId="40972B7B" w14:textId="7EFA243B" w:rsidR="00BC5E09" w:rsidRDefault="00BC5E09" w:rsidP="00BC5E09">
            <w:pPr>
              <w:autoSpaceDE w:val="0"/>
              <w:autoSpaceDN w:val="0"/>
              <w:adjustRightInd w:val="0"/>
              <w:spacing w:after="0"/>
              <w:ind w:left="0" w:hanging="2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Ćwiczenia </w:t>
            </w:r>
            <w:r w:rsidRPr="00C01FC2">
              <w:rPr>
                <w:rFonts w:ascii="Arial Narrow" w:hAnsi="Arial Narrow"/>
                <w:sz w:val="20"/>
                <w:szCs w:val="20"/>
              </w:rPr>
              <w:t>z formami aktywizują</w:t>
            </w:r>
            <w:r>
              <w:rPr>
                <w:rFonts w:ascii="Arial Narrow" w:hAnsi="Arial Narrow"/>
                <w:sz w:val="20"/>
                <w:szCs w:val="20"/>
              </w:rPr>
              <w:t>cymi: dyskusje, studia przypadków</w:t>
            </w:r>
          </w:p>
          <w:p w14:paraId="5D4CDF0C" w14:textId="77777777" w:rsidR="00BC5E09" w:rsidRPr="00BC5E09" w:rsidRDefault="00BC5E09" w:rsidP="00BC5E09">
            <w:pPr>
              <w:autoSpaceDE w:val="0"/>
              <w:autoSpaceDN w:val="0"/>
              <w:adjustRightInd w:val="0"/>
              <w:spacing w:after="0"/>
              <w:ind w:left="0" w:hanging="2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14:paraId="74BA6883" w14:textId="2DEEE36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  <w:r w:rsidR="00BC5E0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A96" w14:textId="76869F7C" w:rsidR="00E604CA" w:rsidRDefault="00BC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multimedialna.</w:t>
            </w:r>
          </w:p>
          <w:p w14:paraId="5F55F46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6C3965CF" w:rsidR="00E604CA" w:rsidRDefault="00BE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Nie dotyczy.</w:t>
            </w:r>
          </w:p>
        </w:tc>
      </w:tr>
    </w:tbl>
    <w:p w14:paraId="13A39F73" w14:textId="42A2A3F7" w:rsidR="002F44E5" w:rsidRDefault="002F44E5" w:rsidP="006D56A1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8D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777CFD10" w14:textId="77777777" w:rsidR="00BE5689" w:rsidRPr="00BE5689" w:rsidRDefault="00BE5689" w:rsidP="00BE568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19" w:firstLineChars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E568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Obecność na co najmniej 75% zajęć (w przypadku uzasadnionych nieobecności studenci muszą dostarczyć stosowne zaświadczenie)</w:t>
            </w:r>
          </w:p>
          <w:p w14:paraId="110549D9" w14:textId="77777777" w:rsidR="00BE5689" w:rsidRPr="00BE5689" w:rsidRDefault="00BE5689" w:rsidP="00BE568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19" w:firstLineChars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E568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Aktywny udział w dyskusjach i zadaniach na zajęciach</w:t>
            </w:r>
          </w:p>
          <w:p w14:paraId="12EEC734" w14:textId="77777777" w:rsidR="00BE5689" w:rsidRPr="00BE5689" w:rsidRDefault="00BE5689" w:rsidP="00BE568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19" w:firstLineChars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E568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Pozytywny wynik egzaminu końcowego, który będzie obejmował materiał omówiony na zajęciach oraz dodatkowe zagadnienia związane z komunikacją marketingową</w:t>
            </w:r>
          </w:p>
          <w:p w14:paraId="424D78E8" w14:textId="65942A8E" w:rsidR="00E604CA" w:rsidRPr="00BE5689" w:rsidRDefault="00BE5689" w:rsidP="00BE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59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E568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Ocena końcowa, będzie wynikiem obliczenia średniej arytmetycznej ocen z obecności, aktywnego udziału w zajęciach oraz wyniku z egzaminu końcowego.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i/>
          <w:color w:val="000000"/>
          <w:sz w:val="20"/>
          <w:szCs w:val="20"/>
        </w:rPr>
        <w:t>ćw</w:t>
      </w:r>
      <w:proofErr w:type="spellEnd"/>
      <w:r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7AF6CD7"/>
    <w:multiLevelType w:val="hybridMultilevel"/>
    <w:tmpl w:val="61660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D0DAC"/>
    <w:multiLevelType w:val="hybridMultilevel"/>
    <w:tmpl w:val="57EC87BA"/>
    <w:lvl w:ilvl="0" w:tplc="F91EA55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BA168EF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72F155C1"/>
    <w:multiLevelType w:val="hybridMultilevel"/>
    <w:tmpl w:val="2E32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037B5"/>
    <w:multiLevelType w:val="hybridMultilevel"/>
    <w:tmpl w:val="C4847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00808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F53A2"/>
    <w:rsid w:val="00191F14"/>
    <w:rsid w:val="00202A00"/>
    <w:rsid w:val="00230C29"/>
    <w:rsid w:val="002375F8"/>
    <w:rsid w:val="002F44E5"/>
    <w:rsid w:val="0034179A"/>
    <w:rsid w:val="003720C3"/>
    <w:rsid w:val="0038590F"/>
    <w:rsid w:val="003A6F75"/>
    <w:rsid w:val="003F421C"/>
    <w:rsid w:val="003F5B20"/>
    <w:rsid w:val="00440D2B"/>
    <w:rsid w:val="0046565F"/>
    <w:rsid w:val="00481BC2"/>
    <w:rsid w:val="0050425B"/>
    <w:rsid w:val="00555ADE"/>
    <w:rsid w:val="005A7666"/>
    <w:rsid w:val="00627E1C"/>
    <w:rsid w:val="006A227A"/>
    <w:rsid w:val="006D56A1"/>
    <w:rsid w:val="00781D56"/>
    <w:rsid w:val="00785D8D"/>
    <w:rsid w:val="008217F2"/>
    <w:rsid w:val="00843200"/>
    <w:rsid w:val="008438B0"/>
    <w:rsid w:val="009846B4"/>
    <w:rsid w:val="009E3AB7"/>
    <w:rsid w:val="00A40312"/>
    <w:rsid w:val="00AD5F68"/>
    <w:rsid w:val="00B27BF0"/>
    <w:rsid w:val="00B43DAD"/>
    <w:rsid w:val="00B47CCA"/>
    <w:rsid w:val="00B77797"/>
    <w:rsid w:val="00B94F09"/>
    <w:rsid w:val="00BC5E09"/>
    <w:rsid w:val="00BD43FE"/>
    <w:rsid w:val="00BE5689"/>
    <w:rsid w:val="00C51EBE"/>
    <w:rsid w:val="00C85A85"/>
    <w:rsid w:val="00CC1D3D"/>
    <w:rsid w:val="00DC6FC4"/>
    <w:rsid w:val="00E604CA"/>
    <w:rsid w:val="00EA35C2"/>
    <w:rsid w:val="00EC4038"/>
    <w:rsid w:val="00ED23CD"/>
    <w:rsid w:val="00F52839"/>
    <w:rsid w:val="00F7045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Poprawka">
    <w:name w:val="Revision"/>
    <w:hidden/>
    <w:uiPriority w:val="99"/>
    <w:semiHidden/>
    <w:rsid w:val="00BC5E09"/>
    <w:pPr>
      <w:spacing w:after="0" w:line="240" w:lineRule="auto"/>
      <w:ind w:firstLine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E5624-6663-4EA5-9951-2ED31BD5F0CB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4d3c138-61bf-47bd-8082-b47598163eb2"/>
    <ds:schemaRef ds:uri="1b48a3af-b701-423a-a577-eae4dcf2dc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10</cp:revision>
  <dcterms:created xsi:type="dcterms:W3CDTF">2023-04-25T16:46:00Z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