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27DE" w14:textId="77777777" w:rsidR="00021108" w:rsidRPr="00021108" w:rsidRDefault="00021108" w:rsidP="00021108">
      <w:pPr>
        <w:keepNext/>
        <w:keepLines/>
        <w:spacing w:before="200" w:after="200" w:line="240" w:lineRule="auto"/>
        <w:ind w:left="1797" w:hanging="1797"/>
        <w:jc w:val="center"/>
        <w:outlineLvl w:val="5"/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8"/>
          <w:u w:val="single"/>
          <w:lang w:eastAsia="en-GB"/>
          <w14:ligatures w14:val="none"/>
        </w:rPr>
      </w:pPr>
      <w:r w:rsidRPr="00021108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8"/>
          <w:u w:val="single"/>
          <w:lang w:eastAsia="en-GB"/>
          <w14:ligatures w14:val="none"/>
        </w:rPr>
        <w:t xml:space="preserve">ZAŁĄCZNIK 3 – OBOWIĄZUJĄCE STAWKI </w:t>
      </w:r>
      <w:r w:rsidRPr="00021108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8"/>
          <w:highlight w:val="yellow"/>
          <w:u w:val="single"/>
          <w:lang w:eastAsia="en-GB"/>
          <w14:ligatures w14:val="none"/>
        </w:rPr>
        <w:t>(KA1)</w:t>
      </w:r>
    </w:p>
    <w:p w14:paraId="6E303029" w14:textId="4F3DEF51" w:rsidR="00021108" w:rsidRPr="00021108" w:rsidRDefault="00021108" w:rsidP="00021108">
      <w:pPr>
        <w:keepNext/>
        <w:keepLines/>
        <w:spacing w:before="200" w:after="200" w:line="240" w:lineRule="auto"/>
        <w:ind w:left="1797" w:hanging="1797"/>
        <w:jc w:val="center"/>
        <w:outlineLvl w:val="5"/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8"/>
          <w:u w:val="single"/>
          <w:lang w:eastAsia="en-GB"/>
          <w14:ligatures w14:val="none"/>
        </w:rPr>
      </w:pPr>
      <w:r w:rsidRPr="00021108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8"/>
          <w:highlight w:val="yellow"/>
          <w:u w:val="single"/>
          <w:lang w:eastAsia="en-GB"/>
          <w14:ligatures w14:val="none"/>
        </w:rPr>
        <w:t xml:space="preserve">HED </w:t>
      </w:r>
      <w:r w:rsidRPr="00DD1707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8"/>
          <w:highlight w:val="yellow"/>
          <w:u w:val="single"/>
          <w:lang w:eastAsia="en-GB"/>
          <w14:ligatures w14:val="none"/>
        </w:rPr>
        <w:t xml:space="preserve">131 </w:t>
      </w:r>
      <w:r w:rsidR="00DD1707" w:rsidRPr="00DD1707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8"/>
          <w:highlight w:val="yellow"/>
          <w:u w:val="single"/>
          <w:lang w:eastAsia="en-GB"/>
          <w14:ligatures w14:val="none"/>
        </w:rPr>
        <w:t>i 171</w:t>
      </w:r>
    </w:p>
    <w:p w14:paraId="49B47DCB" w14:textId="77777777" w:rsidR="00021108" w:rsidRPr="00021108" w:rsidRDefault="00021108" w:rsidP="00021108">
      <w:pPr>
        <w:tabs>
          <w:tab w:val="left" w:pos="1276"/>
        </w:tabs>
        <w:ind w:left="1276" w:hanging="1276"/>
        <w:jc w:val="right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</w:p>
    <w:p w14:paraId="0AEFFD86" w14:textId="77777777" w:rsidR="00756369" w:rsidRPr="00021108" w:rsidRDefault="00756369" w:rsidP="00021108">
      <w:pPr>
        <w:spacing w:after="0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6C9A5020" w14:textId="393F6719" w:rsidR="00021108" w:rsidRPr="00021108" w:rsidRDefault="00756369" w:rsidP="00021108">
      <w:pPr>
        <w:spacing w:after="0"/>
        <w:ind w:left="1134" w:hanging="1134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  <w:r w:rsidRPr="5BFF595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1. </w:t>
      </w:r>
      <w:r w:rsidR="004170F4" w:rsidRPr="5BFF5956">
        <w:rPr>
          <w:rFonts w:ascii="Times New Roman" w:eastAsia="Calibri" w:hAnsi="Times New Roman" w:cs="Times New Roman"/>
          <w:b/>
          <w:bCs/>
        </w:rPr>
        <w:t xml:space="preserve">Dofinansowanie </w:t>
      </w:r>
      <w:r w:rsidRPr="5BFF595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kosztów </w:t>
      </w:r>
      <w:r w:rsidR="00DD1707" w:rsidRPr="5BFF5956">
        <w:rPr>
          <w:rFonts w:ascii="Times New Roman" w:eastAsia="Calibri" w:hAnsi="Times New Roman" w:cs="Times New Roman"/>
          <w:b/>
          <w:bCs/>
          <w:kern w:val="0"/>
          <w14:ligatures w14:val="none"/>
        </w:rPr>
        <w:t>podroży</w:t>
      </w:r>
    </w:p>
    <w:p w14:paraId="7700DF59" w14:textId="77777777" w:rsidR="00021108" w:rsidRPr="00021108" w:rsidRDefault="00021108" w:rsidP="00021108">
      <w:pPr>
        <w:spacing w:after="0"/>
        <w:ind w:left="1134" w:hanging="1134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118"/>
        <w:gridCol w:w="3117"/>
        <w:gridCol w:w="3115"/>
      </w:tblGrid>
      <w:tr w:rsidR="00021108" w:rsidRPr="00021108" w14:paraId="1163874A" w14:textId="77777777">
        <w:tc>
          <w:tcPr>
            <w:tcW w:w="1667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7853FC2" w14:textId="4A8CB37A" w:rsidR="00021108" w:rsidRPr="00021108" w:rsidRDefault="00021108" w:rsidP="00021108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snapToGrid w:val="0"/>
                <w:kern w:val="0"/>
                <w14:ligatures w14:val="none"/>
              </w:rPr>
              <w:t>Odległoś</w:t>
            </w:r>
            <w:r w:rsidR="00B61126">
              <w:rPr>
                <w:rFonts w:ascii="Times New Roman" w:eastAsia="Calibri" w:hAnsi="Times New Roman" w:cs="Times New Roman"/>
                <w:b/>
                <w:snapToGrid w:val="0"/>
                <w:kern w:val="0"/>
                <w14:ligatures w14:val="none"/>
              </w:rPr>
              <w:t>ć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DEBDB01" w14:textId="6267C63C" w:rsidR="00021108" w:rsidRPr="00021108" w:rsidRDefault="00756369" w:rsidP="00021108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14:ligatures w14:val="none"/>
              </w:rPr>
            </w:pPr>
            <w:r w:rsidRPr="00756369">
              <w:rPr>
                <w:rFonts w:ascii="Times New Roman" w:eastAsia="Calibri" w:hAnsi="Times New Roman" w:cs="Arial"/>
                <w:b/>
                <w:snapToGrid w:val="0"/>
                <w:kern w:val="0"/>
                <w14:ligatures w14:val="none"/>
              </w:rPr>
              <w:t>Podróż z wykorzystaniem ekologicznych środków transportu – wysokość stawki</w:t>
            </w:r>
            <w:r w:rsidRPr="00021108" w:rsidDel="00756369">
              <w:rPr>
                <w:rFonts w:ascii="Times New Roman" w:eastAsia="Calibri" w:hAnsi="Times New Roman" w:cs="Times New Roman"/>
                <w:b/>
                <w:snapToGrid w:val="0"/>
                <w:kern w:val="0"/>
                <w14:ligatures w14:val="none"/>
              </w:rPr>
              <w:t xml:space="preserve"> 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shd w:val="pct10" w:color="auto" w:fill="auto"/>
          </w:tcPr>
          <w:p w14:paraId="6C3D93FF" w14:textId="422CD153" w:rsidR="00021108" w:rsidRPr="00021108" w:rsidRDefault="00756369" w:rsidP="00021108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Cs w:val="24"/>
                <w14:ligatures w14:val="none"/>
              </w:rPr>
            </w:pPr>
            <w:r w:rsidRPr="00756369">
              <w:rPr>
                <w:rFonts w:ascii="Times New Roman" w:eastAsia="Calibri" w:hAnsi="Times New Roman" w:cs="Arial"/>
                <w:b/>
                <w:snapToGrid w:val="0"/>
                <w:kern w:val="0"/>
                <w14:ligatures w14:val="none"/>
              </w:rPr>
              <w:t xml:space="preserve">Podróż </w:t>
            </w:r>
            <w:r>
              <w:rPr>
                <w:rFonts w:ascii="Times New Roman" w:eastAsia="Calibri" w:hAnsi="Times New Roman" w:cs="Arial"/>
                <w:b/>
                <w:snapToGrid w:val="0"/>
                <w:kern w:val="0"/>
                <w14:ligatures w14:val="none"/>
              </w:rPr>
              <w:t>bez</w:t>
            </w:r>
            <w:r w:rsidRPr="00756369">
              <w:rPr>
                <w:rFonts w:ascii="Times New Roman" w:eastAsia="Calibri" w:hAnsi="Times New Roman" w:cs="Arial"/>
                <w:b/>
                <w:snapToGrid w:val="0"/>
                <w:kern w:val="0"/>
                <w14:ligatures w14:val="none"/>
              </w:rPr>
              <w:t> wykorzystani</w:t>
            </w:r>
            <w:r>
              <w:rPr>
                <w:rFonts w:ascii="Times New Roman" w:eastAsia="Calibri" w:hAnsi="Times New Roman" w:cs="Arial"/>
                <w:b/>
                <w:snapToGrid w:val="0"/>
                <w:kern w:val="0"/>
                <w14:ligatures w14:val="none"/>
              </w:rPr>
              <w:t>a</w:t>
            </w:r>
            <w:r w:rsidRPr="00756369">
              <w:rPr>
                <w:rFonts w:ascii="Times New Roman" w:eastAsia="Calibri" w:hAnsi="Times New Roman" w:cs="Arial"/>
                <w:b/>
                <w:snapToGrid w:val="0"/>
                <w:kern w:val="0"/>
                <w14:ligatures w14:val="none"/>
              </w:rPr>
              <w:t xml:space="preserve"> ekologicznych środków transportu – wysokość stawki</w:t>
            </w:r>
            <w:r w:rsidRPr="00021108" w:rsidDel="00756369">
              <w:rPr>
                <w:rFonts w:ascii="Times New Roman" w:eastAsia="Calibri" w:hAnsi="Times New Roman" w:cs="Times New Roman"/>
                <w:b/>
                <w:snapToGrid w:val="0"/>
                <w:kern w:val="0"/>
                <w14:ligatures w14:val="none"/>
              </w:rPr>
              <w:t xml:space="preserve"> </w:t>
            </w:r>
          </w:p>
        </w:tc>
      </w:tr>
      <w:tr w:rsidR="00021108" w:rsidRPr="00021108" w14:paraId="7105128F" w14:textId="77777777" w:rsidTr="00756369">
        <w:trPr>
          <w:trHeight w:val="236"/>
        </w:trPr>
        <w:tc>
          <w:tcPr>
            <w:tcW w:w="1667" w:type="pct"/>
            <w:vAlign w:val="center"/>
          </w:tcPr>
          <w:p w14:paraId="3249D9DB" w14:textId="77777777" w:rsidR="00021108" w:rsidRPr="00021108" w:rsidRDefault="00021108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od 10 do 99 km:</w:t>
            </w:r>
          </w:p>
        </w:tc>
        <w:tc>
          <w:tcPr>
            <w:tcW w:w="1667" w:type="pct"/>
            <w:vAlign w:val="center"/>
          </w:tcPr>
          <w:p w14:paraId="56377455" w14:textId="4C673BB6" w:rsidR="00021108" w:rsidRPr="00021108" w:rsidRDefault="00756369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56</w:t>
            </w:r>
            <w:r w:rsidR="00021108"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 EUR na uczestnika</w:t>
            </w:r>
          </w:p>
        </w:tc>
        <w:tc>
          <w:tcPr>
            <w:tcW w:w="1666" w:type="pct"/>
            <w:shd w:val="clear" w:color="auto" w:fill="auto"/>
          </w:tcPr>
          <w:p w14:paraId="2876CF8D" w14:textId="54B31FD7" w:rsidR="00021108" w:rsidRPr="00021108" w:rsidRDefault="00756369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  <w14:ligatures w14:val="none"/>
              </w:rPr>
              <w:t>28 EUR na uczestnika</w:t>
            </w:r>
          </w:p>
        </w:tc>
      </w:tr>
      <w:tr w:rsidR="00021108" w:rsidRPr="00021108" w14:paraId="32C90361" w14:textId="77777777">
        <w:trPr>
          <w:trHeight w:val="236"/>
        </w:trPr>
        <w:tc>
          <w:tcPr>
            <w:tcW w:w="1667" w:type="pct"/>
            <w:vAlign w:val="center"/>
          </w:tcPr>
          <w:p w14:paraId="6AA5FCF2" w14:textId="77777777" w:rsidR="00021108" w:rsidRPr="00021108" w:rsidRDefault="00021108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od 100 do 499 km:</w:t>
            </w:r>
          </w:p>
        </w:tc>
        <w:tc>
          <w:tcPr>
            <w:tcW w:w="1667" w:type="pct"/>
            <w:vAlign w:val="center"/>
          </w:tcPr>
          <w:p w14:paraId="7CE5B9A2" w14:textId="2F6A97CD" w:rsidR="00021108" w:rsidRPr="00021108" w:rsidRDefault="00756369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285</w:t>
            </w:r>
            <w:r w:rsidR="00021108"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 EUR na uczestnika</w:t>
            </w:r>
          </w:p>
        </w:tc>
        <w:tc>
          <w:tcPr>
            <w:tcW w:w="1666" w:type="pct"/>
          </w:tcPr>
          <w:p w14:paraId="140F875F" w14:textId="274E4F6B" w:rsidR="00021108" w:rsidRPr="00021108" w:rsidRDefault="00756369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211</w:t>
            </w:r>
            <w:r w:rsidR="00021108"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 EUR na uczestnika</w:t>
            </w:r>
          </w:p>
        </w:tc>
      </w:tr>
      <w:tr w:rsidR="00021108" w:rsidRPr="00021108" w14:paraId="6FE33B93" w14:textId="77777777">
        <w:trPr>
          <w:trHeight w:val="268"/>
        </w:trPr>
        <w:tc>
          <w:tcPr>
            <w:tcW w:w="1667" w:type="pct"/>
            <w:vAlign w:val="center"/>
          </w:tcPr>
          <w:p w14:paraId="64937F18" w14:textId="77777777" w:rsidR="00021108" w:rsidRPr="00021108" w:rsidRDefault="00021108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od 500 do 1 999 km:</w:t>
            </w:r>
          </w:p>
        </w:tc>
        <w:tc>
          <w:tcPr>
            <w:tcW w:w="1667" w:type="pct"/>
            <w:vAlign w:val="center"/>
          </w:tcPr>
          <w:p w14:paraId="097FBA47" w14:textId="02497B57" w:rsidR="00021108" w:rsidRPr="00021108" w:rsidRDefault="00756369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417</w:t>
            </w:r>
            <w:r w:rsidR="00021108"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 EUR na uczestnika</w:t>
            </w:r>
          </w:p>
        </w:tc>
        <w:tc>
          <w:tcPr>
            <w:tcW w:w="1666" w:type="pct"/>
          </w:tcPr>
          <w:p w14:paraId="0419E141" w14:textId="580D6650" w:rsidR="00021108" w:rsidRPr="00021108" w:rsidRDefault="00756369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309</w:t>
            </w:r>
            <w:r w:rsidR="00021108"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 EUR na uczestnika</w:t>
            </w:r>
          </w:p>
        </w:tc>
      </w:tr>
      <w:tr w:rsidR="00021108" w:rsidRPr="00021108" w14:paraId="5C5F528C" w14:textId="77777777">
        <w:trPr>
          <w:trHeight w:val="272"/>
        </w:trPr>
        <w:tc>
          <w:tcPr>
            <w:tcW w:w="1667" w:type="pct"/>
            <w:vAlign w:val="center"/>
          </w:tcPr>
          <w:p w14:paraId="7B7162BF" w14:textId="77777777" w:rsidR="00021108" w:rsidRPr="00021108" w:rsidRDefault="00021108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od 2 000 do 2 999 km:</w:t>
            </w:r>
          </w:p>
        </w:tc>
        <w:tc>
          <w:tcPr>
            <w:tcW w:w="1667" w:type="pct"/>
            <w:vAlign w:val="center"/>
          </w:tcPr>
          <w:p w14:paraId="47E62C67" w14:textId="151ADD44" w:rsidR="00021108" w:rsidRPr="00021108" w:rsidRDefault="00756369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535</w:t>
            </w:r>
            <w:r w:rsidR="00021108"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 EUR na uczestnika</w:t>
            </w:r>
          </w:p>
        </w:tc>
        <w:tc>
          <w:tcPr>
            <w:tcW w:w="1666" w:type="pct"/>
          </w:tcPr>
          <w:p w14:paraId="64423E5D" w14:textId="42A727C9" w:rsidR="00021108" w:rsidRPr="00021108" w:rsidRDefault="00756369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395</w:t>
            </w:r>
            <w:r w:rsidR="00021108"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 EUR na uczestnika</w:t>
            </w:r>
          </w:p>
        </w:tc>
      </w:tr>
      <w:tr w:rsidR="00021108" w:rsidRPr="00021108" w14:paraId="29AE7FB7" w14:textId="77777777">
        <w:trPr>
          <w:trHeight w:val="262"/>
        </w:trPr>
        <w:tc>
          <w:tcPr>
            <w:tcW w:w="1667" w:type="pct"/>
            <w:vAlign w:val="center"/>
          </w:tcPr>
          <w:p w14:paraId="4FEE99C1" w14:textId="77777777" w:rsidR="00021108" w:rsidRPr="00021108" w:rsidRDefault="00021108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od 3 000 do 3 999 km:</w:t>
            </w:r>
          </w:p>
        </w:tc>
        <w:tc>
          <w:tcPr>
            <w:tcW w:w="1667" w:type="pct"/>
            <w:vAlign w:val="center"/>
          </w:tcPr>
          <w:p w14:paraId="0F8D533D" w14:textId="21AE18B2" w:rsidR="00021108" w:rsidRPr="00021108" w:rsidRDefault="00756369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785</w:t>
            </w:r>
            <w:r w:rsidR="00021108"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 EUR na uczestnika</w:t>
            </w:r>
          </w:p>
        </w:tc>
        <w:tc>
          <w:tcPr>
            <w:tcW w:w="1666" w:type="pct"/>
          </w:tcPr>
          <w:p w14:paraId="3BBF01A2" w14:textId="2EF633DD" w:rsidR="00021108" w:rsidRPr="00021108" w:rsidRDefault="00756369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580</w:t>
            </w:r>
            <w:r w:rsidR="00021108"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 EUR na uczestnika</w:t>
            </w:r>
          </w:p>
        </w:tc>
      </w:tr>
      <w:tr w:rsidR="00021108" w:rsidRPr="00021108" w14:paraId="35F1DA2A" w14:textId="77777777" w:rsidTr="00756369">
        <w:trPr>
          <w:trHeight w:val="280"/>
        </w:trPr>
        <w:tc>
          <w:tcPr>
            <w:tcW w:w="1667" w:type="pct"/>
            <w:vAlign w:val="center"/>
          </w:tcPr>
          <w:p w14:paraId="26665D7C" w14:textId="77777777" w:rsidR="00021108" w:rsidRPr="00021108" w:rsidRDefault="00021108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od 4 000 do 7 999 km:</w:t>
            </w:r>
          </w:p>
        </w:tc>
        <w:tc>
          <w:tcPr>
            <w:tcW w:w="1667" w:type="pct"/>
            <w:vAlign w:val="center"/>
          </w:tcPr>
          <w:p w14:paraId="401D14E5" w14:textId="36307EE6" w:rsidR="00021108" w:rsidRPr="00021108" w:rsidRDefault="00756369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1</w:t>
            </w:r>
            <w:r w:rsidR="00834317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188</w:t>
            </w:r>
            <w:r w:rsidR="00021108"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 EUR na uczestnika</w:t>
            </w:r>
          </w:p>
        </w:tc>
        <w:tc>
          <w:tcPr>
            <w:tcW w:w="1666" w:type="pct"/>
            <w:shd w:val="clear" w:color="auto" w:fill="auto"/>
          </w:tcPr>
          <w:p w14:paraId="36B76D88" w14:textId="778AF4FE" w:rsidR="00021108" w:rsidRPr="00021108" w:rsidRDefault="00756369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  <w14:ligatures w14:val="none"/>
              </w:rPr>
              <w:t>1</w:t>
            </w:r>
            <w:r w:rsidR="00834317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  <w14:ligatures w14:val="none"/>
              </w:rPr>
              <w:t xml:space="preserve">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  <w14:ligatures w14:val="none"/>
              </w:rPr>
              <w:t>188 EUR na uczestnika</w:t>
            </w:r>
          </w:p>
        </w:tc>
      </w:tr>
      <w:tr w:rsidR="00021108" w:rsidRPr="00021108" w14:paraId="122A6549" w14:textId="77777777" w:rsidTr="00756369">
        <w:trPr>
          <w:trHeight w:val="270"/>
        </w:trPr>
        <w:tc>
          <w:tcPr>
            <w:tcW w:w="1667" w:type="pct"/>
            <w:vAlign w:val="center"/>
          </w:tcPr>
          <w:p w14:paraId="1A4B5C58" w14:textId="77777777" w:rsidR="00021108" w:rsidRPr="00021108" w:rsidRDefault="00021108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8 000 km lub więcej:</w:t>
            </w:r>
          </w:p>
        </w:tc>
        <w:tc>
          <w:tcPr>
            <w:tcW w:w="1667" w:type="pct"/>
            <w:vAlign w:val="center"/>
          </w:tcPr>
          <w:p w14:paraId="582262B3" w14:textId="7D8120AE" w:rsidR="00021108" w:rsidRPr="00021108" w:rsidRDefault="00756369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1</w:t>
            </w:r>
            <w:r w:rsidR="00834317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735</w:t>
            </w:r>
            <w:r w:rsidR="00021108"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 EUR na uczestnika</w:t>
            </w:r>
          </w:p>
        </w:tc>
        <w:tc>
          <w:tcPr>
            <w:tcW w:w="1666" w:type="pct"/>
            <w:shd w:val="clear" w:color="auto" w:fill="auto"/>
          </w:tcPr>
          <w:p w14:paraId="3A3158DA" w14:textId="79E806DF" w:rsidR="00021108" w:rsidRPr="00021108" w:rsidRDefault="00756369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  <w14:ligatures w14:val="none"/>
              </w:rPr>
              <w:t>1</w:t>
            </w:r>
            <w:r w:rsidR="00834317"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  <w14:ligatures w14:val="none"/>
              </w:rPr>
              <w:t xml:space="preserve">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Cs w:val="24"/>
                <w:lang w:eastAsia="zh-CN"/>
                <w14:ligatures w14:val="none"/>
              </w:rPr>
              <w:t>735 EUR na uczestnika</w:t>
            </w:r>
          </w:p>
        </w:tc>
      </w:tr>
    </w:tbl>
    <w:p w14:paraId="7F7C5CEF" w14:textId="77777777" w:rsidR="00021108" w:rsidRPr="00021108" w:rsidRDefault="00021108" w:rsidP="00021108">
      <w:pPr>
        <w:spacing w:after="0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</w:p>
    <w:p w14:paraId="61063E99" w14:textId="05EBC6C5" w:rsidR="00021108" w:rsidRPr="00021108" w:rsidRDefault="00021108" w:rsidP="00756369">
      <w:pPr>
        <w:spacing w:after="0"/>
        <w:jc w:val="both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  <w:r w:rsidRPr="00021108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021108">
        <w:rPr>
          <w:rFonts w:ascii="Times New Roman" w:eastAsia="Calibri" w:hAnsi="Times New Roman" w:cs="Times New Roman"/>
          <w:kern w:val="0"/>
          <w14:ligatures w14:val="none"/>
        </w:rPr>
        <w:t>„</w:t>
      </w:r>
      <w:r w:rsidR="00756369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021108">
        <w:rPr>
          <w:rFonts w:ascii="Times New Roman" w:eastAsia="Calibri" w:hAnsi="Times New Roman" w:cs="Times New Roman"/>
          <w:kern w:val="0"/>
          <w14:ligatures w14:val="none"/>
        </w:rPr>
        <w:t>dległość” stanowi odległość między miejscem wyjazdu, a miejscem działania, zaś „wysokość stawki” obejmuje wkład w </w:t>
      </w:r>
      <w:r w:rsidR="00756369">
        <w:rPr>
          <w:rFonts w:ascii="Times New Roman" w:eastAsia="Calibri" w:hAnsi="Times New Roman" w:cs="Times New Roman"/>
          <w:kern w:val="0"/>
          <w14:ligatures w14:val="none"/>
        </w:rPr>
        <w:t xml:space="preserve">koszty </w:t>
      </w:r>
      <w:r w:rsidRPr="00021108">
        <w:rPr>
          <w:rFonts w:ascii="Times New Roman" w:eastAsia="Calibri" w:hAnsi="Times New Roman" w:cs="Times New Roman"/>
          <w:kern w:val="0"/>
          <w14:ligatures w14:val="none"/>
        </w:rPr>
        <w:t>podróż</w:t>
      </w:r>
      <w:r w:rsidR="00756369">
        <w:rPr>
          <w:rFonts w:ascii="Times New Roman" w:eastAsia="Calibri" w:hAnsi="Times New Roman" w:cs="Times New Roman"/>
          <w:kern w:val="0"/>
          <w14:ligatures w14:val="none"/>
        </w:rPr>
        <w:t>y</w:t>
      </w:r>
      <w:r w:rsidRPr="00021108">
        <w:rPr>
          <w:rFonts w:ascii="Times New Roman" w:eastAsia="Calibri" w:hAnsi="Times New Roman" w:cs="Times New Roman"/>
          <w:kern w:val="0"/>
          <w14:ligatures w14:val="none"/>
        </w:rPr>
        <w:t xml:space="preserve"> do miejsca działania i z powrotem.</w:t>
      </w:r>
    </w:p>
    <w:p w14:paraId="479C6480" w14:textId="77777777" w:rsidR="00021108" w:rsidRPr="00021108" w:rsidRDefault="00021108" w:rsidP="00021108">
      <w:pPr>
        <w:spacing w:after="0"/>
        <w:rPr>
          <w:rFonts w:ascii="Calibri" w:eastAsia="Calibri" w:hAnsi="Calibri" w:cs="Times New Roman"/>
          <w:kern w:val="0"/>
          <w:sz w:val="20"/>
          <w:szCs w:val="20"/>
          <w:lang w:val="es-ES"/>
          <w14:ligatures w14:val="none"/>
        </w:rPr>
      </w:pPr>
    </w:p>
    <w:p w14:paraId="55C85213" w14:textId="77777777" w:rsidR="00021108" w:rsidRPr="00021108" w:rsidRDefault="00021108" w:rsidP="00021108">
      <w:pPr>
        <w:spacing w:after="0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  <w:r w:rsidRPr="00021108">
        <w:rPr>
          <w:rFonts w:ascii="Times New Roman" w:eastAsia="Calibri" w:hAnsi="Times New Roman" w:cs="Times New Roman"/>
          <w:b/>
          <w:kern w:val="0"/>
          <w14:ligatures w14:val="none"/>
        </w:rPr>
        <w:t>2. Wsparcie indywidualne mobilności fizycznej</w:t>
      </w:r>
    </w:p>
    <w:p w14:paraId="01017900" w14:textId="77777777" w:rsidR="00021108" w:rsidRPr="00021108" w:rsidRDefault="00021108" w:rsidP="00021108">
      <w:pPr>
        <w:spacing w:after="0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p w14:paraId="308B9D2A" w14:textId="77777777" w:rsidR="00021108" w:rsidRPr="00021108" w:rsidRDefault="00021108" w:rsidP="00021108">
      <w:pPr>
        <w:spacing w:after="0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  <w:r w:rsidRPr="00021108">
        <w:rPr>
          <w:rFonts w:ascii="Times New Roman" w:eastAsia="Calibri" w:hAnsi="Times New Roman" w:cs="Times New Roman"/>
          <w:b/>
          <w:kern w:val="0"/>
          <w14:ligatures w14:val="none"/>
        </w:rPr>
        <w:t>Mobilność pracowników</w:t>
      </w:r>
    </w:p>
    <w:p w14:paraId="36C976D8" w14:textId="6DC549B5" w:rsidR="00021108" w:rsidRPr="00021108" w:rsidRDefault="00021108" w:rsidP="5BFF5956">
      <w:pPr>
        <w:spacing w:after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9E0FC3B" w14:textId="77777777" w:rsidR="00021108" w:rsidRPr="00021108" w:rsidRDefault="00021108" w:rsidP="00021108">
      <w:pPr>
        <w:spacing w:after="0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tbl>
      <w:tblPr>
        <w:tblW w:w="9889" w:type="dxa"/>
        <w:tblLayout w:type="fixed"/>
        <w:tblLook w:val="06A0" w:firstRow="1" w:lastRow="0" w:firstColumn="1" w:lastColumn="0" w:noHBand="1" w:noVBand="1"/>
      </w:tblPr>
      <w:tblGrid>
        <w:gridCol w:w="2627"/>
        <w:gridCol w:w="3718"/>
        <w:gridCol w:w="3544"/>
      </w:tblGrid>
      <w:tr w:rsidR="00021108" w:rsidRPr="00021108" w14:paraId="77CF69BA" w14:textId="77777777" w:rsidTr="00B61126">
        <w:trPr>
          <w:trHeight w:val="795"/>
        </w:trPr>
        <w:tc>
          <w:tcPr>
            <w:tcW w:w="26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395360" w14:textId="77777777" w:rsidR="00021108" w:rsidRPr="00021108" w:rsidRDefault="00021108" w:rsidP="0002110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6D4071F3" w14:textId="77777777" w:rsidR="00021108" w:rsidRPr="00021108" w:rsidRDefault="00021108" w:rsidP="00021108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Pracownicy z państw członkowskich UE i państw trzecich stowarzyszonych z programem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C605CA7" w14:textId="77777777" w:rsidR="00021108" w:rsidRPr="00021108" w:rsidRDefault="00021108" w:rsidP="00021108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Pracownicy z państw trzecich niestowarzyszonych z programem</w:t>
            </w:r>
          </w:p>
        </w:tc>
      </w:tr>
      <w:tr w:rsidR="00021108" w:rsidRPr="00021108" w14:paraId="29AE2D75" w14:textId="77777777" w:rsidTr="00B61126">
        <w:tc>
          <w:tcPr>
            <w:tcW w:w="26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B17F676" w14:textId="77777777" w:rsidR="00021108" w:rsidRPr="00021108" w:rsidRDefault="00021108" w:rsidP="0002110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Kraj przyjmujący</w:t>
            </w:r>
          </w:p>
          <w:p w14:paraId="1156EA4E" w14:textId="77777777" w:rsidR="00021108" w:rsidRPr="00021108" w:rsidRDefault="00021108" w:rsidP="0002110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E67794B" w14:textId="77777777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Min.–maks. (na dzień)</w:t>
            </w:r>
          </w:p>
          <w:p w14:paraId="72A50C9B" w14:textId="77777777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0E198C2" w14:textId="77777777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Kwota (na dzień)</w:t>
            </w:r>
          </w:p>
        </w:tc>
      </w:tr>
      <w:tr w:rsidR="00021108" w:rsidRPr="00021108" w14:paraId="2B632ED9" w14:textId="77777777" w:rsidTr="00B61126">
        <w:trPr>
          <w:trHeight w:val="255"/>
        </w:trPr>
        <w:tc>
          <w:tcPr>
            <w:tcW w:w="2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B953" w14:textId="77777777" w:rsidR="00021108" w:rsidRPr="00021108" w:rsidRDefault="00021108" w:rsidP="0002110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B5C5422" w14:textId="77777777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kern w:val="0"/>
                <w14:ligatures w14:val="none"/>
              </w:rPr>
              <w:t>A1.1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001471ED" w14:textId="77777777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kern w:val="0"/>
                <w14:ligatures w14:val="none"/>
              </w:rPr>
              <w:t>A1.2</w:t>
            </w:r>
          </w:p>
        </w:tc>
      </w:tr>
      <w:tr w:rsidR="00021108" w:rsidRPr="00021108" w14:paraId="04B1BECE" w14:textId="77777777" w:rsidTr="00B61126">
        <w:trPr>
          <w:trHeight w:val="1185"/>
        </w:trPr>
        <w:tc>
          <w:tcPr>
            <w:tcW w:w="2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708F295" w14:textId="1F382300" w:rsidR="00021108" w:rsidRPr="00021108" w:rsidRDefault="00756369" w:rsidP="0002110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Austria, Belgia, </w:t>
            </w:r>
            <w:r w:rsidR="00021108"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Dania, Finlandia,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Francja, </w:t>
            </w:r>
            <w:r w:rsidR="002F3918"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Irlandia, </w:t>
            </w:r>
            <w:r w:rsidR="00021108"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Islandia, Liechtenstein, Luksemburg,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Niderlandy</w:t>
            </w:r>
            <w:r w:rsidR="00021108"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="0083431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Niemcy, </w:t>
            </w:r>
            <w:r w:rsidR="002F391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</w:t>
            </w:r>
            <w:r w:rsidR="00021108"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orwegia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,</w:t>
            </w:r>
            <w:r w:rsidR="00021108"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 Szwecja</w:t>
            </w:r>
            <w:r w:rsidR="002F391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,</w:t>
            </w:r>
            <w:r w:rsidR="0083431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Włochy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F04A3" w14:textId="13D34294" w:rsidR="00021108" w:rsidRPr="00021108" w:rsidRDefault="347138FE" w:rsidP="347138F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347138FE">
              <w:rPr>
                <w:rFonts w:ascii="Times New Roman" w:eastAsia="Calibri" w:hAnsi="Times New Roman" w:cs="Times New Roman"/>
              </w:rPr>
              <w:t>190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1B821" w14:textId="6840620D" w:rsidR="00021108" w:rsidRPr="00021108" w:rsidRDefault="002F2965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190</w:t>
            </w:r>
          </w:p>
        </w:tc>
      </w:tr>
      <w:tr w:rsidR="00021108" w:rsidRPr="00021108" w14:paraId="6100C275" w14:textId="77777777" w:rsidTr="00B61126">
        <w:trPr>
          <w:trHeight w:val="1185"/>
        </w:trPr>
        <w:tc>
          <w:tcPr>
            <w:tcW w:w="2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1F19F35" w14:textId="08FE87AF" w:rsidR="00021108" w:rsidRPr="00021108" w:rsidRDefault="00021108" w:rsidP="0002110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lastRenderedPageBreak/>
              <w:t>Państwa trzecie niestowarzyszone z programem z region</w:t>
            </w:r>
            <w:r w:rsidR="00756369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ów</w:t>
            </w: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="00756369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13 i </w:t>
            </w: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14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57AD7" w14:textId="0A8AA42F" w:rsidR="00021108" w:rsidRPr="00021108" w:rsidRDefault="347138FE" w:rsidP="347138F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347138FE">
              <w:rPr>
                <w:rFonts w:ascii="Times New Roman" w:eastAsia="Calibri" w:hAnsi="Times New Roman" w:cs="Times New Roman"/>
              </w:rPr>
              <w:t>190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641A1" w14:textId="77777777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084087D2" w14:textId="77777777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kern w:val="0"/>
                <w14:ligatures w14:val="none"/>
              </w:rPr>
              <w:t>Nie kwalifikują się</w:t>
            </w:r>
          </w:p>
          <w:p w14:paraId="2EA73DF6" w14:textId="77777777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021108" w:rsidRPr="00021108" w14:paraId="62459015" w14:textId="77777777" w:rsidTr="00B61126">
        <w:trPr>
          <w:trHeight w:val="1185"/>
        </w:trPr>
        <w:tc>
          <w:tcPr>
            <w:tcW w:w="2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530F644" w14:textId="7DB778EE" w:rsidR="00021108" w:rsidRPr="00021108" w:rsidRDefault="00021108" w:rsidP="0C6671CC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C6671CC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Cypr, </w:t>
            </w:r>
            <w:r w:rsidR="0E80F11F" w:rsidRPr="0E80F11F">
              <w:rPr>
                <w:rFonts w:ascii="Times New Roman" w:eastAsia="Calibri" w:hAnsi="Times New Roman" w:cs="Times New Roman"/>
                <w:b/>
                <w:bCs/>
              </w:rPr>
              <w:t xml:space="preserve">Czechy, Estonia, </w:t>
            </w:r>
            <w:r w:rsidRPr="0C6671CC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Grecja, </w:t>
            </w:r>
            <w:r w:rsidR="0E80F11F" w:rsidRPr="0E80F11F">
              <w:rPr>
                <w:rFonts w:ascii="Times New Roman" w:eastAsia="Calibri" w:hAnsi="Times New Roman" w:cs="Times New Roman"/>
                <w:b/>
                <w:bCs/>
              </w:rPr>
              <w:t>Hiszpania, Łotwa</w:t>
            </w:r>
            <w:r w:rsidRPr="0C6671CC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, Malta, Portugalia</w:t>
            </w:r>
            <w:r w:rsidR="0E80F11F" w:rsidRPr="0E80F11F">
              <w:rPr>
                <w:rFonts w:ascii="Times New Roman" w:eastAsia="Calibri" w:hAnsi="Times New Roman" w:cs="Times New Roman"/>
                <w:b/>
                <w:bCs/>
              </w:rPr>
              <w:t xml:space="preserve">, Słowacja, Słowenia 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480E4" w14:textId="5C87E75E" w:rsidR="00021108" w:rsidRPr="00021108" w:rsidRDefault="347138FE" w:rsidP="347138F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347138FE"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1A424" w14:textId="77777777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7DF2AF8C" w14:textId="6445560E" w:rsidR="00021108" w:rsidRPr="00021108" w:rsidRDefault="002F2965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170</w:t>
            </w:r>
          </w:p>
        </w:tc>
      </w:tr>
      <w:tr w:rsidR="00021108" w:rsidRPr="00021108" w14:paraId="64A5BB84" w14:textId="77777777" w:rsidTr="00B61126">
        <w:trPr>
          <w:trHeight w:val="1125"/>
        </w:trPr>
        <w:tc>
          <w:tcPr>
            <w:tcW w:w="2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257B1CA" w14:textId="32A5E42B" w:rsidR="00021108" w:rsidRPr="00021108" w:rsidRDefault="00021108" w:rsidP="00021108">
            <w:pPr>
              <w:spacing w:line="276" w:lineRule="auto"/>
              <w:rPr>
                <w:rFonts w:ascii="Times New Roman" w:eastAsia="Calibri" w:hAnsi="Times New Roman" w:cs="Times New Roman"/>
                <w:b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Bułgaria, Chorwacja, Litwa, Macedonia Północna, Polska, Rumunia, Serbia, Turcja</w:t>
            </w:r>
            <w:r w:rsidR="004D6D5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,</w:t>
            </w: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="002F3918"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Węgry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C81F3" w14:textId="4CAB9FEE" w:rsidR="00021108" w:rsidRPr="00021108" w:rsidRDefault="347138FE" w:rsidP="347138F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37511">
              <w:rPr>
                <w:rFonts w:ascii="Times New Roman" w:eastAsia="Calibri" w:hAnsi="Times New Roman" w:cs="Times New Roman"/>
              </w:rPr>
              <w:t>148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232DF" w14:textId="77777777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26068EEC" w14:textId="245BABA2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21108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021108">
              <w:rPr>
                <w:rFonts w:ascii="Calibri" w:eastAsia="Calibri" w:hAnsi="Calibri" w:cs="Times New Roman"/>
                <w:kern w:val="0"/>
                <w14:ligatures w14:val="none"/>
              </w:rPr>
              <w:br/>
            </w:r>
            <w:r w:rsidRPr="00021108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="002F2965">
              <w:rPr>
                <w:rFonts w:ascii="Times New Roman" w:eastAsia="Calibri" w:hAnsi="Times New Roman" w:cs="Times New Roman"/>
                <w:kern w:val="0"/>
                <w14:ligatures w14:val="none"/>
              </w:rPr>
              <w:t>48</w:t>
            </w:r>
          </w:p>
        </w:tc>
      </w:tr>
      <w:tr w:rsidR="00021108" w:rsidRPr="00021108" w14:paraId="32783DA5" w14:textId="77777777" w:rsidTr="00B61126">
        <w:trPr>
          <w:trHeight w:val="1110"/>
        </w:trPr>
        <w:tc>
          <w:tcPr>
            <w:tcW w:w="2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517913E" w14:textId="3247E579" w:rsidR="00021108" w:rsidRPr="00021108" w:rsidRDefault="00021108" w:rsidP="0002110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Państwa trzecie niestowarzyszone z </w:t>
            </w:r>
            <w:r w:rsidR="002F2965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</w:t>
            </w: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rogramem z regionów 1</w:t>
            </w:r>
            <w:r w:rsidR="004170F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-3, 5</w:t>
            </w: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–12</w:t>
            </w:r>
          </w:p>
        </w:tc>
        <w:tc>
          <w:tcPr>
            <w:tcW w:w="3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BCCA5" w14:textId="4485EA0C" w:rsidR="00021108" w:rsidRPr="00021108" w:rsidRDefault="002F2965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190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6969C" w14:textId="77777777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07DC88C9" w14:textId="77777777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kern w:val="0"/>
                <w14:ligatures w14:val="none"/>
              </w:rPr>
              <w:t>Nie kwalifikują się</w:t>
            </w:r>
          </w:p>
        </w:tc>
      </w:tr>
    </w:tbl>
    <w:p w14:paraId="49E1A660" w14:textId="77777777" w:rsidR="00021108" w:rsidRPr="00021108" w:rsidRDefault="00021108" w:rsidP="00021108">
      <w:pPr>
        <w:spacing w:after="0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p w14:paraId="70B89CFE" w14:textId="5D7B77FD" w:rsidR="00021108" w:rsidRPr="00021108" w:rsidRDefault="00021108" w:rsidP="00B61126">
      <w:pPr>
        <w:spacing w:after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1108">
        <w:rPr>
          <w:rFonts w:ascii="Times New Roman" w:eastAsia="Calibri" w:hAnsi="Times New Roman" w:cs="Times New Roman"/>
          <w:kern w:val="0"/>
          <w14:ligatures w14:val="none"/>
        </w:rPr>
        <w:t xml:space="preserve">Stawki ustalone przez </w:t>
      </w:r>
      <w:r w:rsidR="002F2965">
        <w:rPr>
          <w:rFonts w:ascii="Times New Roman" w:eastAsia="Calibri" w:hAnsi="Times New Roman" w:cs="Times New Roman"/>
          <w:kern w:val="0"/>
          <w14:ligatures w14:val="none"/>
        </w:rPr>
        <w:t>a</w:t>
      </w:r>
      <w:r w:rsidRPr="00021108">
        <w:rPr>
          <w:rFonts w:ascii="Times New Roman" w:eastAsia="Calibri" w:hAnsi="Times New Roman" w:cs="Times New Roman"/>
          <w:kern w:val="0"/>
          <w14:ligatures w14:val="none"/>
        </w:rPr>
        <w:t xml:space="preserve">gencję </w:t>
      </w:r>
      <w:r w:rsidR="002F2965">
        <w:rPr>
          <w:rFonts w:ascii="Times New Roman" w:eastAsia="Calibri" w:hAnsi="Times New Roman" w:cs="Times New Roman"/>
          <w:kern w:val="0"/>
          <w14:ligatures w14:val="none"/>
        </w:rPr>
        <w:t>n</w:t>
      </w:r>
      <w:r w:rsidRPr="00021108">
        <w:rPr>
          <w:rFonts w:ascii="Times New Roman" w:eastAsia="Calibri" w:hAnsi="Times New Roman" w:cs="Times New Roman"/>
          <w:kern w:val="0"/>
          <w14:ligatures w14:val="none"/>
        </w:rPr>
        <w:t xml:space="preserve">arodową pozostają </w:t>
      </w:r>
      <w:r w:rsidRPr="00021108">
        <w:rPr>
          <w:rFonts w:ascii="Times New Roman" w:eastAsia="Calibri" w:hAnsi="Times New Roman" w:cs="Times New Roman"/>
          <w:b/>
          <w:kern w:val="0"/>
          <w14:ligatures w14:val="none"/>
        </w:rPr>
        <w:t>stałe</w:t>
      </w:r>
      <w:r w:rsidRPr="00021108">
        <w:rPr>
          <w:rFonts w:ascii="Times New Roman" w:eastAsia="Calibri" w:hAnsi="Times New Roman" w:cs="Times New Roman"/>
          <w:kern w:val="0"/>
          <w14:ligatures w14:val="none"/>
        </w:rPr>
        <w:t xml:space="preserve"> dla całego projektu mobilności.</w:t>
      </w:r>
    </w:p>
    <w:p w14:paraId="530FE086" w14:textId="77777777" w:rsidR="002F2965" w:rsidRDefault="002F2965" w:rsidP="002F2965">
      <w:pPr>
        <w:spacing w:after="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56BC098" w14:textId="64B71EAB" w:rsidR="00021108" w:rsidRPr="00021108" w:rsidRDefault="002F2965" w:rsidP="00B61126">
      <w:pPr>
        <w:spacing w:after="0"/>
        <w:jc w:val="both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S</w:t>
      </w:r>
      <w:r w:rsidR="00021108" w:rsidRPr="00021108">
        <w:rPr>
          <w:rFonts w:ascii="Times New Roman" w:eastAsia="Calibri" w:hAnsi="Times New Roman" w:cs="Times New Roman"/>
          <w:b/>
          <w:kern w:val="0"/>
          <w14:ligatures w14:val="none"/>
        </w:rPr>
        <w:t>tawkę dzienną ustala się w następujący sposób:</w:t>
      </w:r>
    </w:p>
    <w:p w14:paraId="41C87F08" w14:textId="77777777" w:rsidR="00021108" w:rsidRPr="00021108" w:rsidRDefault="00021108" w:rsidP="00B61126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snapToGrid w:val="0"/>
          <w:kern w:val="3"/>
          <w:szCs w:val="24"/>
          <w14:ligatures w14:val="none"/>
        </w:rPr>
      </w:pPr>
      <w:r w:rsidRPr="00021108">
        <w:rPr>
          <w:rFonts w:ascii="Times New Roman" w:eastAsia="Calibri" w:hAnsi="Times New Roman" w:cs="Times New Roman"/>
          <w:snapToGrid w:val="0"/>
          <w:kern w:val="0"/>
          <w14:ligatures w14:val="none"/>
        </w:rPr>
        <w:t>do 14. dnia działania: kwota na dzień na uczestnika, określona w powyższej tabeli</w:t>
      </w:r>
    </w:p>
    <w:p w14:paraId="43BE1A77" w14:textId="77777777" w:rsidR="00021108" w:rsidRPr="00021108" w:rsidRDefault="00021108" w:rsidP="00B61126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snapToGrid w:val="0"/>
          <w:kern w:val="3"/>
          <w:szCs w:val="24"/>
          <w14:ligatures w14:val="none"/>
        </w:rPr>
      </w:pPr>
      <w:r w:rsidRPr="00021108">
        <w:rPr>
          <w:rFonts w:ascii="Times New Roman" w:eastAsia="Calibri" w:hAnsi="Times New Roman" w:cs="Times New Roman"/>
          <w:snapToGrid w:val="0"/>
          <w:kern w:val="0"/>
          <w14:ligatures w14:val="none"/>
        </w:rPr>
        <w:t>+</w:t>
      </w:r>
    </w:p>
    <w:p w14:paraId="6F0A28C9" w14:textId="77777777" w:rsidR="00021108" w:rsidRPr="00021108" w:rsidRDefault="00021108" w:rsidP="00B61126">
      <w:pPr>
        <w:spacing w:after="0"/>
        <w:jc w:val="both"/>
        <w:rPr>
          <w:rFonts w:ascii="Times New Roman" w:eastAsia="SimSun" w:hAnsi="Times New Roman" w:cs="Times New Roman"/>
          <w:snapToGrid w:val="0"/>
          <w:kern w:val="3"/>
          <w:szCs w:val="24"/>
          <w14:ligatures w14:val="none"/>
        </w:rPr>
      </w:pPr>
      <w:r w:rsidRPr="00021108">
        <w:rPr>
          <w:rFonts w:ascii="Times New Roman" w:eastAsia="Calibri" w:hAnsi="Times New Roman" w:cs="Times New Roman"/>
          <w:snapToGrid w:val="0"/>
          <w:kern w:val="0"/>
          <w14:ligatures w14:val="none"/>
        </w:rPr>
        <w:t>od 15. do 60. dnia działania + finansowane dni podróży: 70% kwoty na dzień na uczestnika, określonej w powyższej tabeli.</w:t>
      </w:r>
    </w:p>
    <w:p w14:paraId="73CB93E3" w14:textId="77777777" w:rsidR="00021108" w:rsidRPr="00021108" w:rsidRDefault="00021108" w:rsidP="00021108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12C796BB" w14:textId="4F566AC7" w:rsidR="002F2965" w:rsidRPr="002F2965" w:rsidRDefault="0C6671CC" w:rsidP="0C6671CC">
      <w:pPr>
        <w:spacing w:after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C6671CC">
        <w:rPr>
          <w:rFonts w:ascii="Times New Roman" w:eastAsia="Calibri" w:hAnsi="Times New Roman" w:cs="Arial"/>
        </w:rPr>
        <w:t>W razie potrzeby indywidualne wsparcie kosztów utrzymania jest kwalifikowalne w odniesieniu do czasu podróży przed rozpoczęciem i po zakończeniu działania, przy czym w przypadku uczestników i osób towarzyszących otrzymujących dofinansowanie kosztów podróży bez wykorzystania ekologicznych środków transportu pokrywa się maksymalnie koszty dwóch dni podróży, a w przypadku uczestników otrzymujących dotację na podróż z wykorzystaniem ekologicznych środków transportu – maksymalnie koszty sześciu dodatkowych dni.</w:t>
      </w:r>
    </w:p>
    <w:p w14:paraId="4F277D29" w14:textId="77777777" w:rsidR="00021108" w:rsidRPr="00021108" w:rsidRDefault="00021108" w:rsidP="002F2965">
      <w:pPr>
        <w:spacing w:after="0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38F97020" w14:textId="77777777" w:rsidR="00021108" w:rsidRPr="00021108" w:rsidRDefault="00021108" w:rsidP="00021108">
      <w:pPr>
        <w:spacing w:after="0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544F5A7C" w14:textId="77777777" w:rsidR="00021108" w:rsidRDefault="00021108" w:rsidP="00021108">
      <w:pPr>
        <w:spacing w:after="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21108">
        <w:rPr>
          <w:rFonts w:ascii="Times New Roman" w:eastAsia="Calibri" w:hAnsi="Times New Roman" w:cs="Times New Roman"/>
          <w:b/>
          <w:kern w:val="0"/>
          <w14:ligatures w14:val="none"/>
        </w:rPr>
        <w:t>Mobilność studentów</w:t>
      </w:r>
    </w:p>
    <w:p w14:paraId="56585401" w14:textId="43957752" w:rsidR="002F2965" w:rsidRPr="00021108" w:rsidRDefault="002F2965" w:rsidP="00021108">
      <w:pPr>
        <w:spacing w:after="0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Krótkoterminowa mobilność fizyczna</w:t>
      </w:r>
    </w:p>
    <w:p w14:paraId="034F1F3E" w14:textId="77777777" w:rsidR="00021108" w:rsidRPr="00021108" w:rsidRDefault="00021108" w:rsidP="00021108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7EC2D4E4" w14:textId="77777777" w:rsidR="002F2965" w:rsidRDefault="002F2965" w:rsidP="002F2965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kern w:val="0"/>
          <w:szCs w:val="24"/>
          <w14:ligatures w14:val="none"/>
        </w:rPr>
      </w:pPr>
      <w:r w:rsidRPr="002F2965">
        <w:rPr>
          <w:rFonts w:ascii="Times New Roman" w:eastAsia="Calibri" w:hAnsi="Times New Roman" w:cs="Times New Roman"/>
          <w:bCs/>
          <w:kern w:val="0"/>
          <w:szCs w:val="24"/>
          <w14:ligatures w14:val="none"/>
        </w:rPr>
        <w:t>Studenci i niedawni absolwenci realizujący krótkoterminową mobilność fizyczną do dowolnego kraju otrzymują podstawową kwotę 79 EUR na dzień do 14. dnia działania i 56 EUR na dzień od 15. do 30. dnia + finansowane dni podróży.</w:t>
      </w:r>
    </w:p>
    <w:p w14:paraId="1A68DF8B" w14:textId="77777777" w:rsidR="002F2965" w:rsidRDefault="002F2965" w:rsidP="002F2965">
      <w:pPr>
        <w:pStyle w:val="Akapitzlist"/>
        <w:jc w:val="both"/>
        <w:rPr>
          <w:rFonts w:ascii="Times New Roman" w:eastAsia="Calibri" w:hAnsi="Times New Roman" w:cs="Times New Roman"/>
          <w:bCs/>
          <w:kern w:val="0"/>
          <w:szCs w:val="24"/>
          <w14:ligatures w14:val="none"/>
        </w:rPr>
      </w:pPr>
    </w:p>
    <w:p w14:paraId="54542D51" w14:textId="77777777" w:rsidR="002F2965" w:rsidRDefault="002F2965" w:rsidP="002F2965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kern w:val="0"/>
          <w:szCs w:val="24"/>
          <w14:ligatures w14:val="none"/>
        </w:rPr>
      </w:pPr>
      <w:r w:rsidRPr="002F2965">
        <w:rPr>
          <w:rFonts w:ascii="Times New Roman" w:eastAsia="Calibri" w:hAnsi="Times New Roman" w:cs="Times New Roman"/>
          <w:bCs/>
          <w:kern w:val="0"/>
          <w:szCs w:val="24"/>
          <w14:ligatures w14:val="none"/>
        </w:rPr>
        <w:lastRenderedPageBreak/>
        <w:t xml:space="preserve">Studenci i niedawni absolwenci o mniejszych szansach realizujący krótkoterminową mobilność fizyczną otrzymują dopłatę uzupełniającą podstawową kwotę wsparcia indywidualnego w wysokości 100 EUR na działanie w zakresie mobilności fizycznej w okresie od 5. do 14. dnia i 150 EUR w okresie od 15. do 30. dnia. </w:t>
      </w:r>
    </w:p>
    <w:p w14:paraId="40F70B46" w14:textId="77777777" w:rsidR="002F2965" w:rsidRPr="002F2965" w:rsidRDefault="002F2965" w:rsidP="002F2965">
      <w:pPr>
        <w:pStyle w:val="Akapitzlist"/>
        <w:rPr>
          <w:rFonts w:ascii="Times New Roman" w:eastAsia="Calibri" w:hAnsi="Times New Roman" w:cs="Times New Roman"/>
          <w:bCs/>
          <w:kern w:val="0"/>
          <w:szCs w:val="24"/>
          <w14:ligatures w14:val="none"/>
        </w:rPr>
      </w:pPr>
    </w:p>
    <w:p w14:paraId="3C5B6061" w14:textId="2B7546D9" w:rsidR="002F2965" w:rsidRPr="002F2965" w:rsidRDefault="0C6671CC" w:rsidP="0C6671CC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C6671CC">
        <w:rPr>
          <w:rFonts w:ascii="Times New Roman" w:eastAsia="Calibri" w:hAnsi="Times New Roman" w:cs="Times New Roman"/>
        </w:rPr>
        <w:t xml:space="preserve">Dopłata uzupełniająca na </w:t>
      </w:r>
      <w:r w:rsidR="00B61126">
        <w:rPr>
          <w:rFonts w:ascii="Times New Roman" w:eastAsia="Calibri" w:hAnsi="Times New Roman" w:cs="Times New Roman"/>
        </w:rPr>
        <w:t>praktyki</w:t>
      </w:r>
      <w:r w:rsidRPr="0C6671CC">
        <w:rPr>
          <w:rFonts w:ascii="Times New Roman" w:eastAsia="Calibri" w:hAnsi="Times New Roman" w:cs="Times New Roman"/>
        </w:rPr>
        <w:t xml:space="preserve"> nie ma zastosowania w przypadku studentów i niedawnych absolwentów realizujących krótkoterminową mobilność.</w:t>
      </w:r>
    </w:p>
    <w:p w14:paraId="188D4EEB" w14:textId="77777777" w:rsidR="002F2965" w:rsidRPr="002F2965" w:rsidRDefault="002F2965" w:rsidP="002F2965">
      <w:pPr>
        <w:pStyle w:val="Akapitzlist"/>
        <w:jc w:val="both"/>
        <w:rPr>
          <w:rFonts w:ascii="Times New Roman" w:eastAsia="Calibri" w:hAnsi="Times New Roman" w:cs="Times New Roman"/>
          <w:bCs/>
          <w:kern w:val="0"/>
          <w:szCs w:val="24"/>
          <w14:ligatures w14:val="none"/>
        </w:rPr>
      </w:pPr>
    </w:p>
    <w:p w14:paraId="00195382" w14:textId="3A03ABBB" w:rsidR="002F2965" w:rsidRPr="002F2965" w:rsidRDefault="0C6671CC" w:rsidP="0234869E">
      <w:pPr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C6671CC">
        <w:rPr>
          <w:rFonts w:ascii="Times New Roman" w:eastAsia="Calibri" w:hAnsi="Times New Roman" w:cs="Times New Roman"/>
          <w:b/>
          <w:bCs/>
        </w:rPr>
        <w:t>Długoterminowa mobilność fizyczna</w:t>
      </w:r>
    </w:p>
    <w:p w14:paraId="0D6E38FC" w14:textId="293E6992" w:rsidR="00021108" w:rsidRPr="00021108" w:rsidRDefault="00021108" w:rsidP="005A4A4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  <w:r w:rsidRPr="0C6671C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Stawka podstawowa w przypadku odbywania studiów i praktyk w ramach długoterminowej mobilności studentów do państw członkowskich UE, państw trzecich stowarzyszonych z programem i państw trzecich niestowarzyszonych z programem z regionów 13 i 14, z wyjątkiem studentów </w:t>
      </w:r>
      <w:r w:rsidR="004170F4" w:rsidRPr="004170F4">
        <w:rPr>
          <w:rFonts w:ascii="Times New Roman" w:eastAsia="Calibri" w:hAnsi="Times New Roman" w:cs="Arial"/>
          <w:kern w:val="0"/>
          <w14:ligatures w14:val="none"/>
        </w:rPr>
        <w:t xml:space="preserve"> </w:t>
      </w:r>
      <w:r w:rsidR="004170F4" w:rsidRPr="005A4A44">
        <w:rPr>
          <w:rFonts w:ascii="Times New Roman" w:eastAsia="Calibri" w:hAnsi="Times New Roman" w:cs="Arial"/>
          <w:b/>
          <w:bCs/>
          <w:kern w:val="0"/>
          <w14:ligatures w14:val="none"/>
        </w:rPr>
        <w:t>studiujących w instytucjach szkolnictwa wyższego znajdujących się</w:t>
      </w:r>
      <w:r w:rsidRPr="0C6671CC">
        <w:rPr>
          <w:rFonts w:ascii="Times New Roman" w:eastAsia="Calibri" w:hAnsi="Times New Roman" w:cs="Times New Roman"/>
          <w:b/>
          <w:bCs/>
          <w:kern w:val="0"/>
          <w14:ligatures w14:val="none"/>
        </w:rPr>
        <w:t> </w:t>
      </w:r>
      <w:r w:rsidR="004170F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w </w:t>
      </w:r>
      <w:r w:rsidRPr="0C6671CC">
        <w:rPr>
          <w:rFonts w:ascii="Times New Roman" w:eastAsia="Calibri" w:hAnsi="Times New Roman" w:cs="Times New Roman"/>
          <w:b/>
          <w:bCs/>
          <w:kern w:val="0"/>
          <w14:ligatures w14:val="none"/>
        </w:rPr>
        <w:t>region</w:t>
      </w:r>
      <w:r w:rsidR="004170F4">
        <w:rPr>
          <w:rFonts w:ascii="Times New Roman" w:eastAsia="Calibri" w:hAnsi="Times New Roman" w:cs="Times New Roman"/>
          <w:b/>
          <w:bCs/>
          <w:kern w:val="0"/>
          <w14:ligatures w14:val="none"/>
        </w:rPr>
        <w:t>ach</w:t>
      </w:r>
      <w:r w:rsidRPr="0C6671C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najbardziej oddalonych oraz kraj</w:t>
      </w:r>
      <w:r w:rsidR="004170F4">
        <w:rPr>
          <w:rFonts w:ascii="Times New Roman" w:eastAsia="Calibri" w:hAnsi="Times New Roman" w:cs="Times New Roman"/>
          <w:b/>
          <w:bCs/>
          <w:kern w:val="0"/>
          <w14:ligatures w14:val="none"/>
        </w:rPr>
        <w:t>ach</w:t>
      </w:r>
      <w:r w:rsidRPr="0C6671C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i terytori</w:t>
      </w:r>
      <w:r w:rsidR="004170F4">
        <w:rPr>
          <w:rFonts w:ascii="Times New Roman" w:eastAsia="Calibri" w:hAnsi="Times New Roman" w:cs="Times New Roman"/>
          <w:b/>
          <w:bCs/>
          <w:kern w:val="0"/>
          <w14:ligatures w14:val="none"/>
        </w:rPr>
        <w:t>ach</w:t>
      </w:r>
      <w:r w:rsidRPr="0C6671C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zamorskich</w:t>
      </w:r>
    </w:p>
    <w:p w14:paraId="588CDC83" w14:textId="77777777" w:rsidR="00021108" w:rsidRPr="00021108" w:rsidRDefault="00021108" w:rsidP="00021108">
      <w:pPr>
        <w:spacing w:after="0"/>
        <w:ind w:left="720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3457"/>
        <w:gridCol w:w="3827"/>
      </w:tblGrid>
      <w:tr w:rsidR="00021108" w:rsidRPr="00021108" w14:paraId="56A036DF" w14:textId="77777777" w:rsidTr="5BFF5956">
        <w:trPr>
          <w:trHeight w:val="696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6A94" w14:textId="77777777" w:rsidR="00021108" w:rsidRPr="00021108" w:rsidRDefault="00021108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ja-JP"/>
                <w14:ligatures w14:val="none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7333" w14:textId="77777777" w:rsidR="00021108" w:rsidRPr="00021108" w:rsidRDefault="00021108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napToGrid w:val="0"/>
                <w:kern w:val="3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snapToGrid w:val="0"/>
                <w:kern w:val="0"/>
                <w14:ligatures w14:val="none"/>
              </w:rPr>
              <w:t>Kraj przyjmujący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57A7" w14:textId="77777777" w:rsidR="00021108" w:rsidRPr="00021108" w:rsidRDefault="00021108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napToGrid w:val="0"/>
                <w:kern w:val="3"/>
                <w:szCs w:val="24"/>
                <w:lang w:eastAsia="zh-CN"/>
                <w14:ligatures w14:val="none"/>
              </w:rPr>
            </w:pPr>
          </w:p>
          <w:p w14:paraId="23F05957" w14:textId="77777777" w:rsidR="00021108" w:rsidRPr="00021108" w:rsidRDefault="00021108" w:rsidP="00021108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napToGrid w:val="0"/>
                <w:kern w:val="3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snapToGrid w:val="0"/>
                <w:kern w:val="0"/>
                <w14:ligatures w14:val="none"/>
              </w:rPr>
              <w:t>Stawka miesięczna</w:t>
            </w:r>
            <w:r w:rsidRPr="00021108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021108">
              <w:rPr>
                <w:rFonts w:ascii="Calibri" w:eastAsia="Calibri" w:hAnsi="Calibri" w:cs="Times New Roman"/>
                <w:kern w:val="0"/>
                <w14:ligatures w14:val="none"/>
              </w:rPr>
              <w:br/>
            </w:r>
          </w:p>
        </w:tc>
      </w:tr>
      <w:tr w:rsidR="00021108" w:rsidRPr="00021108" w14:paraId="3C831D93" w14:textId="77777777" w:rsidTr="5BFF5956">
        <w:trPr>
          <w:trHeight w:val="696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E1CD" w14:textId="77777777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Grupa 1</w:t>
            </w:r>
          </w:p>
          <w:p w14:paraId="6E9458AD" w14:textId="77777777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Kraje o wyższych kosztach utrzymania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D191" w14:textId="39DFECA4" w:rsidR="00021108" w:rsidRPr="00021108" w:rsidRDefault="002F2965" w:rsidP="000211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Austria, Belgia, </w:t>
            </w:r>
            <w:r w:rsidR="00021108"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Dania, Finlandia,</w:t>
            </w:r>
            <w:r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 Francja, </w:t>
            </w:r>
            <w:r w:rsidR="00021108"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Islandia, Irlandia, Liechtenstein, Luksemburg, </w:t>
            </w:r>
            <w:r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Niderlandy, </w:t>
            </w:r>
            <w:r w:rsidR="00151551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Niemcy</w:t>
            </w:r>
            <w:r w:rsidR="00BA2E52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,</w:t>
            </w:r>
            <w:r w:rsidR="00151551"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 </w:t>
            </w:r>
            <w:r w:rsidR="00021108"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Norwegia, Szwecja</w:t>
            </w:r>
            <w:r w:rsidR="00BA2E52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, Włochy</w:t>
            </w:r>
          </w:p>
          <w:p w14:paraId="3BE69718" w14:textId="5E8622E6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Państwa trzecie niestowarzyszone z programem z region</w:t>
            </w:r>
            <w:r w:rsidR="002F2965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ów 13 i</w:t>
            </w:r>
            <w:r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5162" w14:textId="77777777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Cs w:val="24"/>
                <w14:ligatures w14:val="none"/>
              </w:rPr>
            </w:pPr>
          </w:p>
          <w:p w14:paraId="5021D206" w14:textId="5AF5AACB" w:rsidR="00021108" w:rsidRPr="00021108" w:rsidRDefault="347138FE" w:rsidP="347138F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14:ligatures w14:val="none"/>
              </w:rPr>
            </w:pPr>
            <w:r w:rsidRPr="347138FE">
              <w:rPr>
                <w:rFonts w:ascii="Times New Roman" w:eastAsia="Times New Roman" w:hAnsi="Times New Roman" w:cs="Times New Roman"/>
              </w:rPr>
              <w:t>670</w:t>
            </w:r>
          </w:p>
        </w:tc>
      </w:tr>
      <w:tr w:rsidR="00021108" w:rsidRPr="00021108" w14:paraId="1742D7C0" w14:textId="77777777" w:rsidTr="5BFF5956">
        <w:trPr>
          <w:trHeight w:val="696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71BD" w14:textId="77777777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Grupa 2</w:t>
            </w:r>
          </w:p>
          <w:p w14:paraId="17A21144" w14:textId="77777777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Kraje o średnich kosztach utrzymania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1A9F" w14:textId="70BCFAF3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Cypr,</w:t>
            </w:r>
            <w:r w:rsidR="002F2965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 Czechy, Estonia, Grecja, </w:t>
            </w:r>
            <w:r w:rsidR="00D26EB1"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>Hiszpania</w:t>
            </w:r>
            <w:r w:rsidR="00D26EB1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, </w:t>
            </w:r>
            <w:r w:rsidR="002F2965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Łotwa, Malta, Portugalia, Słowacja, Słowenia </w:t>
            </w:r>
            <w:r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 </w:t>
            </w:r>
          </w:p>
          <w:p w14:paraId="3D731317" w14:textId="1CF42435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1E38" w14:textId="77777777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Times New Roman" w:hAnsi="Times New Roman" w:cs="Times New Roman"/>
                <w:snapToGrid w:val="0"/>
                <w:kern w:val="0"/>
                <w:szCs w:val="24"/>
                <w14:ligatures w14:val="none"/>
              </w:rPr>
              <w:t xml:space="preserve"> </w:t>
            </w:r>
          </w:p>
          <w:p w14:paraId="3983FB0C" w14:textId="5D1DB655" w:rsidR="00021108" w:rsidRPr="00021108" w:rsidRDefault="347138FE" w:rsidP="347138F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14:ligatures w14:val="none"/>
              </w:rPr>
            </w:pPr>
            <w:r w:rsidRPr="347138FE">
              <w:rPr>
                <w:rFonts w:ascii="Times New Roman" w:eastAsia="Times New Roman" w:hAnsi="Times New Roman" w:cs="Times New Roman"/>
              </w:rPr>
              <w:t>670</w:t>
            </w:r>
          </w:p>
        </w:tc>
      </w:tr>
      <w:tr w:rsidR="00021108" w:rsidRPr="00021108" w14:paraId="580EAC29" w14:textId="77777777" w:rsidTr="5BFF5956">
        <w:trPr>
          <w:trHeight w:val="696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A9CD" w14:textId="77777777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Grupa 3</w:t>
            </w:r>
          </w:p>
          <w:p w14:paraId="298E217F" w14:textId="77777777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Kraje o niższych kosztach utrzymania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E113" w14:textId="24ABE072" w:rsidR="00021108" w:rsidRPr="00021108" w:rsidRDefault="00021108" w:rsidP="0C6671C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snapToGrid w:val="0"/>
                <w:kern w:val="0"/>
                <w14:ligatures w14:val="none"/>
              </w:rPr>
              <w:t xml:space="preserve">Bułgaria, Chorwacja, Litwa, Macedonia Północna, Polska, Rumunia, Serbia, Turcja, </w:t>
            </w:r>
            <w:r w:rsidR="0C6671CC" w:rsidRPr="0C6671CC">
              <w:rPr>
                <w:rFonts w:ascii="Times New Roman" w:eastAsia="Calibri" w:hAnsi="Times New Roman" w:cs="Times New Roman"/>
              </w:rPr>
              <w:t>Węgry,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6ADF" w14:textId="77777777" w:rsidR="00021108" w:rsidRPr="00021108" w:rsidRDefault="00021108" w:rsidP="000211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Cs w:val="24"/>
                <w14:ligatures w14:val="none"/>
              </w:rPr>
            </w:pPr>
          </w:p>
          <w:p w14:paraId="437AC61A" w14:textId="0463DD70" w:rsidR="00021108" w:rsidRPr="00021108" w:rsidRDefault="347138FE" w:rsidP="347138F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14:ligatures w14:val="none"/>
              </w:rPr>
            </w:pPr>
            <w:r w:rsidRPr="347138FE">
              <w:rPr>
                <w:rFonts w:ascii="Times New Roman" w:eastAsia="Times New Roman" w:hAnsi="Times New Roman" w:cs="Times New Roman"/>
              </w:rPr>
              <w:t>600</w:t>
            </w:r>
          </w:p>
        </w:tc>
      </w:tr>
    </w:tbl>
    <w:p w14:paraId="45EF7D22" w14:textId="77777777" w:rsidR="00021108" w:rsidRPr="00021108" w:rsidRDefault="00021108" w:rsidP="00021108">
      <w:pPr>
        <w:spacing w:after="0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0FA04BD5" w14:textId="6A4C93A6" w:rsidR="00021108" w:rsidRPr="00021108" w:rsidRDefault="00021108" w:rsidP="00021108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021108">
        <w:rPr>
          <w:rFonts w:ascii="Times New Roman" w:eastAsia="Calibri" w:hAnsi="Times New Roman" w:cs="Times New Roman"/>
          <w:kern w:val="0"/>
          <w14:ligatures w14:val="none"/>
        </w:rPr>
        <w:t xml:space="preserve">Stawki ustalone przez agencję narodową pozostają </w:t>
      </w:r>
      <w:r w:rsidRPr="00021108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stałe</w:t>
      </w:r>
      <w:r w:rsidRPr="00021108">
        <w:rPr>
          <w:rFonts w:ascii="Times New Roman" w:eastAsia="Calibri" w:hAnsi="Times New Roman" w:cs="Times New Roman"/>
          <w:kern w:val="0"/>
          <w14:ligatures w14:val="none"/>
        </w:rPr>
        <w:t xml:space="preserve"> dla całego projektu mobilności.</w:t>
      </w:r>
    </w:p>
    <w:p w14:paraId="1389F2FD" w14:textId="77777777" w:rsidR="00021108" w:rsidRPr="00021108" w:rsidRDefault="00021108" w:rsidP="00021108">
      <w:pPr>
        <w:spacing w:after="0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2E3B87C3" w14:textId="16C947A9" w:rsidR="00021108" w:rsidRPr="00021108" w:rsidRDefault="00021108" w:rsidP="00B6112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  <w:r w:rsidRPr="0C6671C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Stawka podstawowa w przypadku odbywania studiów i praktyk w ramach długoterminowej mobilności studentów </w:t>
      </w:r>
      <w:r w:rsidR="004170F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studiujących w </w:t>
      </w:r>
      <w:r w:rsidRPr="0C6671CC">
        <w:rPr>
          <w:rFonts w:ascii="Times New Roman" w:eastAsia="Calibri" w:hAnsi="Times New Roman" w:cs="Times New Roman"/>
          <w:b/>
          <w:bCs/>
          <w:kern w:val="0"/>
          <w14:ligatures w14:val="none"/>
        </w:rPr>
        <w:t>instytucj</w:t>
      </w:r>
      <w:r w:rsidR="004170F4">
        <w:rPr>
          <w:rFonts w:ascii="Times New Roman" w:eastAsia="Calibri" w:hAnsi="Times New Roman" w:cs="Times New Roman"/>
          <w:b/>
          <w:bCs/>
          <w:kern w:val="0"/>
          <w14:ligatures w14:val="none"/>
        </w:rPr>
        <w:t>ach</w:t>
      </w:r>
      <w:r w:rsidRPr="0C6671C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szkolnictwa wyższego znajdujących się w regionach najbardziej oddalonych oraz w krajach i terytoriach zamorskich</w:t>
      </w:r>
    </w:p>
    <w:p w14:paraId="3CD411FE" w14:textId="77777777" w:rsidR="00021108" w:rsidRPr="00021108" w:rsidRDefault="00021108" w:rsidP="00021108">
      <w:pPr>
        <w:spacing w:after="0"/>
        <w:ind w:left="720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635"/>
        <w:gridCol w:w="3063"/>
      </w:tblGrid>
      <w:tr w:rsidR="00021108" w:rsidRPr="00021108" w14:paraId="2F7A71B0" w14:textId="77777777">
        <w:tc>
          <w:tcPr>
            <w:tcW w:w="1953" w:type="pct"/>
            <w:shd w:val="clear" w:color="auto" w:fill="auto"/>
            <w:vAlign w:val="center"/>
          </w:tcPr>
          <w:p w14:paraId="2EC3020F" w14:textId="77777777" w:rsidR="00021108" w:rsidRPr="00021108" w:rsidRDefault="00021108" w:rsidP="00021108">
            <w:pPr>
              <w:widowControl w:val="0"/>
              <w:tabs>
                <w:tab w:val="left" w:pos="1344"/>
              </w:tabs>
              <w:suppressAutoHyphens/>
              <w:autoSpaceDN w:val="0"/>
              <w:spacing w:after="0"/>
              <w:ind w:right="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lastRenderedPageBreak/>
              <w:t>Mobilność z</w:t>
            </w:r>
          </w:p>
        </w:tc>
        <w:tc>
          <w:tcPr>
            <w:tcW w:w="1409" w:type="pct"/>
            <w:shd w:val="clear" w:color="auto" w:fill="auto"/>
            <w:vAlign w:val="center"/>
          </w:tcPr>
          <w:p w14:paraId="0A32C98D" w14:textId="77777777" w:rsidR="00021108" w:rsidRPr="00021108" w:rsidRDefault="00021108" w:rsidP="00021108">
            <w:pPr>
              <w:widowControl w:val="0"/>
              <w:tabs>
                <w:tab w:val="left" w:pos="1344"/>
              </w:tabs>
              <w:suppressAutoHyphens/>
              <w:autoSpaceDN w:val="0"/>
              <w:spacing w:after="0"/>
              <w:ind w:right="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Do kraju przyjmującego</w:t>
            </w:r>
          </w:p>
          <w:p w14:paraId="596AE05E" w14:textId="77777777" w:rsidR="00021108" w:rsidRPr="00021108" w:rsidRDefault="00021108" w:rsidP="00021108">
            <w:pPr>
              <w:widowControl w:val="0"/>
              <w:tabs>
                <w:tab w:val="left" w:pos="1344"/>
              </w:tabs>
              <w:suppressAutoHyphens/>
              <w:autoSpaceDN w:val="0"/>
              <w:spacing w:after="0"/>
              <w:ind w:right="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zh-CN"/>
                <w14:ligatures w14:val="none"/>
              </w:rPr>
            </w:pPr>
          </w:p>
        </w:tc>
        <w:tc>
          <w:tcPr>
            <w:tcW w:w="1638" w:type="pct"/>
            <w:shd w:val="clear" w:color="auto" w:fill="auto"/>
            <w:vAlign w:val="center"/>
          </w:tcPr>
          <w:p w14:paraId="742E4E30" w14:textId="77777777" w:rsidR="00021108" w:rsidRPr="00021108" w:rsidRDefault="00021108" w:rsidP="00021108">
            <w:pPr>
              <w:widowControl w:val="0"/>
              <w:tabs>
                <w:tab w:val="left" w:pos="1344"/>
              </w:tabs>
              <w:suppressAutoHyphens/>
              <w:autoSpaceDN w:val="0"/>
              <w:spacing w:after="0"/>
              <w:ind w:right="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Kwota</w:t>
            </w:r>
          </w:p>
        </w:tc>
      </w:tr>
      <w:tr w:rsidR="00021108" w:rsidRPr="00021108" w14:paraId="531712FC" w14:textId="77777777">
        <w:trPr>
          <w:trHeight w:val="1104"/>
        </w:trPr>
        <w:tc>
          <w:tcPr>
            <w:tcW w:w="1953" w:type="pct"/>
            <w:shd w:val="clear" w:color="auto" w:fill="auto"/>
            <w:vAlign w:val="center"/>
          </w:tcPr>
          <w:p w14:paraId="0768364C" w14:textId="77777777" w:rsidR="00021108" w:rsidRPr="00021108" w:rsidRDefault="00021108" w:rsidP="00021108">
            <w:pPr>
              <w:widowControl w:val="0"/>
              <w:tabs>
                <w:tab w:val="left" w:pos="1344"/>
              </w:tabs>
              <w:suppressAutoHyphens/>
              <w:autoSpaceDN w:val="0"/>
              <w:spacing w:after="0"/>
              <w:ind w:right="7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kern w:val="0"/>
                <w14:ligatures w14:val="none"/>
              </w:rPr>
              <w:t>Regiony najbardziej oddalone oraz kraje i terytoria zamorskie</w:t>
            </w:r>
          </w:p>
        </w:tc>
        <w:tc>
          <w:tcPr>
            <w:tcW w:w="1409" w:type="pct"/>
            <w:shd w:val="clear" w:color="auto" w:fill="auto"/>
            <w:vAlign w:val="center"/>
          </w:tcPr>
          <w:p w14:paraId="43F7AE6B" w14:textId="77777777" w:rsidR="00021108" w:rsidRPr="00021108" w:rsidRDefault="00021108" w:rsidP="00021108">
            <w:pPr>
              <w:widowControl w:val="0"/>
              <w:tabs>
                <w:tab w:val="left" w:pos="1344"/>
              </w:tabs>
              <w:suppressAutoHyphens/>
              <w:autoSpaceDN w:val="0"/>
              <w:spacing w:after="0"/>
              <w:ind w:right="7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Państwa członkowskie UE i państwa trzecie stowarzyszone z programem oraz państwa trzecie niestowarzyszone z programem z regionów 13 i 14 </w:t>
            </w:r>
          </w:p>
        </w:tc>
        <w:tc>
          <w:tcPr>
            <w:tcW w:w="1638" w:type="pct"/>
            <w:shd w:val="clear" w:color="auto" w:fill="auto"/>
            <w:vAlign w:val="center"/>
          </w:tcPr>
          <w:p w14:paraId="0FEB0A2D" w14:textId="77777777" w:rsidR="00021108" w:rsidRPr="00021108" w:rsidRDefault="00021108" w:rsidP="00021108">
            <w:pPr>
              <w:widowControl w:val="0"/>
              <w:tabs>
                <w:tab w:val="left" w:pos="1344"/>
              </w:tabs>
              <w:suppressAutoHyphens/>
              <w:autoSpaceDN w:val="0"/>
              <w:spacing w:after="0"/>
              <w:ind w:right="7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  <w14:ligatures w14:val="none"/>
              </w:rPr>
            </w:pPr>
            <w:r w:rsidRPr="00021108">
              <w:rPr>
                <w:rFonts w:ascii="Times New Roman" w:eastAsia="Calibri" w:hAnsi="Times New Roman" w:cs="Times New Roman"/>
                <w:kern w:val="0"/>
                <w14:ligatures w14:val="none"/>
              </w:rPr>
              <w:t>786 EUR na miesiąc</w:t>
            </w:r>
          </w:p>
          <w:p w14:paraId="46F228E1" w14:textId="77777777" w:rsidR="00021108" w:rsidRPr="00021108" w:rsidRDefault="00021108" w:rsidP="00021108">
            <w:pPr>
              <w:widowControl w:val="0"/>
              <w:tabs>
                <w:tab w:val="left" w:pos="1344"/>
              </w:tabs>
              <w:suppressAutoHyphens/>
              <w:autoSpaceDN w:val="0"/>
              <w:spacing w:after="0"/>
              <w:ind w:right="7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  <w:lang w:eastAsia="zh-CN"/>
                <w14:ligatures w14:val="none"/>
              </w:rPr>
            </w:pPr>
          </w:p>
        </w:tc>
      </w:tr>
    </w:tbl>
    <w:p w14:paraId="37401FD2" w14:textId="77777777" w:rsidR="00021108" w:rsidRPr="00021108" w:rsidRDefault="00021108" w:rsidP="00021108">
      <w:pPr>
        <w:spacing w:after="0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</w:p>
    <w:p w14:paraId="32117FB3" w14:textId="42CED7A4" w:rsidR="00021108" w:rsidRPr="00021108" w:rsidRDefault="00021108" w:rsidP="08CF759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C6671CC">
        <w:rPr>
          <w:rFonts w:ascii="Times New Roman" w:eastAsia="Calibri" w:hAnsi="Times New Roman" w:cs="Times New Roman"/>
          <w:b/>
          <w:bCs/>
          <w:kern w:val="0"/>
          <w14:ligatures w14:val="none"/>
        </w:rPr>
        <w:t>Stawka podstawowa w przypadku odbywania studiów i praktyk w ramach długoterminowej mobilności studentów do i z państw trzecich niestowarzyszonych z programem z regionów od 1 do 12, w tym dla studentów</w:t>
      </w:r>
      <w:r w:rsidR="00A5133F" w:rsidRPr="08CF759A">
        <w:rPr>
          <w:rFonts w:ascii="Times New Roman" w:eastAsia="Calibri" w:hAnsi="Times New Roman" w:cs="Times New Roman"/>
          <w:b/>
          <w:bCs/>
        </w:rPr>
        <w:t xml:space="preserve"> studiujących </w:t>
      </w:r>
      <w:r w:rsidR="71E2DCB2" w:rsidRPr="08CF759A">
        <w:rPr>
          <w:rFonts w:ascii="Times New Roman" w:eastAsia="Calibri" w:hAnsi="Times New Roman" w:cs="Times New Roman"/>
          <w:b/>
          <w:bCs/>
        </w:rPr>
        <w:t>w</w:t>
      </w:r>
      <w:r w:rsidRPr="0C6671C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instytucj</w:t>
      </w:r>
      <w:r w:rsidR="7C739710" w:rsidRPr="0C6671CC">
        <w:rPr>
          <w:rFonts w:ascii="Times New Roman" w:eastAsia="Calibri" w:hAnsi="Times New Roman" w:cs="Times New Roman"/>
          <w:b/>
          <w:bCs/>
          <w:kern w:val="0"/>
          <w14:ligatures w14:val="none"/>
        </w:rPr>
        <w:t>ach</w:t>
      </w:r>
      <w:r w:rsidRPr="0C6671C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szkolnictwa wyższego znajdujących się w regionach najbardziej oddalonych oraz w krajach i terytoriach zamorskich</w:t>
      </w:r>
    </w:p>
    <w:p w14:paraId="645CC9A5" w14:textId="77777777" w:rsidR="00021108" w:rsidRPr="00021108" w:rsidRDefault="00021108" w:rsidP="00021108">
      <w:pPr>
        <w:spacing w:after="0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</w:p>
    <w:p w14:paraId="56B0B40E" w14:textId="77777777" w:rsidR="00021108" w:rsidRPr="00021108" w:rsidRDefault="00021108" w:rsidP="00021108">
      <w:pPr>
        <w:spacing w:after="0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</w:p>
    <w:p w14:paraId="53F85341" w14:textId="77777777" w:rsidR="00021108" w:rsidRPr="00021108" w:rsidRDefault="00021108" w:rsidP="00021108">
      <w:pPr>
        <w:spacing w:after="0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021108" w:rsidRPr="00021108" w14:paraId="6063682E" w14:textId="77777777" w:rsidTr="195D0129">
        <w:tc>
          <w:tcPr>
            <w:tcW w:w="3096" w:type="dxa"/>
          </w:tcPr>
          <w:p w14:paraId="789EBA1A" w14:textId="77777777" w:rsidR="00021108" w:rsidRPr="00021108" w:rsidRDefault="00021108" w:rsidP="000211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21108">
              <w:rPr>
                <w:rFonts w:ascii="Times New Roman" w:eastAsia="Calibri" w:hAnsi="Times New Roman" w:cs="Times New Roman"/>
                <w:b/>
              </w:rPr>
              <w:t>Mobilność z kraju wysyłającego</w:t>
            </w:r>
          </w:p>
        </w:tc>
        <w:tc>
          <w:tcPr>
            <w:tcW w:w="3096" w:type="dxa"/>
          </w:tcPr>
          <w:p w14:paraId="7C56814F" w14:textId="77777777" w:rsidR="00021108" w:rsidRPr="00021108" w:rsidRDefault="00021108" w:rsidP="000211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21108">
              <w:rPr>
                <w:rFonts w:ascii="Times New Roman" w:eastAsia="Calibri" w:hAnsi="Times New Roman" w:cs="Times New Roman"/>
                <w:b/>
              </w:rPr>
              <w:t>Do kraju przyjmującego</w:t>
            </w:r>
          </w:p>
        </w:tc>
        <w:tc>
          <w:tcPr>
            <w:tcW w:w="3096" w:type="dxa"/>
          </w:tcPr>
          <w:p w14:paraId="1DABBC4C" w14:textId="77777777" w:rsidR="00021108" w:rsidRPr="00021108" w:rsidRDefault="00021108" w:rsidP="00021108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21108">
              <w:rPr>
                <w:rFonts w:ascii="Times New Roman" w:eastAsia="Calibri" w:hAnsi="Times New Roman" w:cs="Times New Roman"/>
                <w:b/>
              </w:rPr>
              <w:t>Kwota</w:t>
            </w:r>
          </w:p>
        </w:tc>
      </w:tr>
      <w:tr w:rsidR="00021108" w:rsidRPr="00021108" w14:paraId="00C5FFB8" w14:textId="77777777" w:rsidTr="195D0129">
        <w:tc>
          <w:tcPr>
            <w:tcW w:w="3096" w:type="dxa"/>
          </w:tcPr>
          <w:p w14:paraId="60A08BDE" w14:textId="77777777" w:rsidR="00021108" w:rsidRPr="00021108" w:rsidRDefault="00021108" w:rsidP="00021108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1108">
              <w:rPr>
                <w:rFonts w:ascii="Times New Roman" w:eastAsia="Calibri" w:hAnsi="Times New Roman" w:cs="Times New Roman"/>
              </w:rPr>
              <w:t xml:space="preserve">Państwa członkowskie UE i </w:t>
            </w:r>
          </w:p>
          <w:p w14:paraId="70EEA8D1" w14:textId="26C4D824" w:rsidR="00021108" w:rsidRPr="00021108" w:rsidRDefault="00021108" w:rsidP="195D0129">
            <w:pPr>
              <w:rPr>
                <w:rFonts w:ascii="Times New Roman" w:eastAsia="Calibri" w:hAnsi="Times New Roman" w:cs="Times New Roman"/>
              </w:rPr>
            </w:pPr>
            <w:r w:rsidRPr="195D0129">
              <w:rPr>
                <w:rFonts w:ascii="Times New Roman" w:eastAsia="Calibri" w:hAnsi="Times New Roman" w:cs="Times New Roman"/>
              </w:rPr>
              <w:t>państwa trzecie stowarzyszone z programem</w:t>
            </w:r>
          </w:p>
        </w:tc>
        <w:tc>
          <w:tcPr>
            <w:tcW w:w="3096" w:type="dxa"/>
          </w:tcPr>
          <w:p w14:paraId="0ECF42C1" w14:textId="3A2BB767" w:rsidR="00021108" w:rsidRPr="00021108" w:rsidRDefault="00021108" w:rsidP="195D0129">
            <w:pPr>
              <w:rPr>
                <w:rFonts w:ascii="Times New Roman" w:eastAsia="Calibri" w:hAnsi="Times New Roman" w:cs="Times New Roman"/>
              </w:rPr>
            </w:pPr>
            <w:r w:rsidRPr="390C41F5">
              <w:rPr>
                <w:rFonts w:ascii="Times New Roman" w:eastAsia="Calibri" w:hAnsi="Times New Roman" w:cs="Times New Roman"/>
              </w:rPr>
              <w:t>Państwa trzecie</w:t>
            </w:r>
            <w:r w:rsidR="50C964C2" w:rsidRPr="390C41F5">
              <w:rPr>
                <w:rFonts w:ascii="Times New Roman" w:eastAsia="Calibri" w:hAnsi="Times New Roman" w:cs="Times New Roman"/>
              </w:rPr>
              <w:t xml:space="preserve"> </w:t>
            </w:r>
            <w:r w:rsidRPr="390C41F5">
              <w:rPr>
                <w:rFonts w:ascii="Times New Roman" w:eastAsia="Calibri" w:hAnsi="Times New Roman" w:cs="Times New Roman"/>
              </w:rPr>
              <w:t>niestowarzyszone z</w:t>
            </w:r>
          </w:p>
          <w:p w14:paraId="40409E16" w14:textId="00A9A867" w:rsidR="00021108" w:rsidRPr="00021108" w:rsidRDefault="00021108" w:rsidP="00021108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1108">
              <w:rPr>
                <w:rFonts w:ascii="Times New Roman" w:eastAsia="Calibri" w:hAnsi="Times New Roman" w:cs="Times New Roman"/>
              </w:rPr>
              <w:t>programem z regionów 1</w:t>
            </w:r>
            <w:r w:rsidR="00A5133F">
              <w:rPr>
                <w:rFonts w:ascii="Times New Roman" w:eastAsia="Calibri" w:hAnsi="Times New Roman" w:cs="Times New Roman"/>
              </w:rPr>
              <w:t>-3,</w:t>
            </w:r>
            <w:r w:rsidR="00A5133F">
              <w:rPr>
                <w:rFonts w:ascii="Times New Roman" w:eastAsia="Calibri" w:hAnsi="Times New Roman" w:cs="Times New Roman"/>
              </w:rPr>
              <w:br/>
              <w:t>5</w:t>
            </w:r>
            <w:r w:rsidRPr="00021108">
              <w:rPr>
                <w:rFonts w:ascii="Times New Roman" w:eastAsia="Calibri" w:hAnsi="Times New Roman" w:cs="Times New Roman"/>
              </w:rPr>
              <w:t>–12</w:t>
            </w:r>
          </w:p>
        </w:tc>
        <w:tc>
          <w:tcPr>
            <w:tcW w:w="3096" w:type="dxa"/>
          </w:tcPr>
          <w:p w14:paraId="09FD7FC5" w14:textId="77777777" w:rsidR="00021108" w:rsidRPr="00021108" w:rsidRDefault="00021108" w:rsidP="00021108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1108">
              <w:rPr>
                <w:rFonts w:ascii="Times New Roman" w:eastAsia="Calibri" w:hAnsi="Times New Roman" w:cs="Times New Roman"/>
              </w:rPr>
              <w:t>700 EUR na miesiąc</w:t>
            </w:r>
          </w:p>
          <w:p w14:paraId="5D1B70DF" w14:textId="77777777" w:rsidR="00021108" w:rsidRPr="00021108" w:rsidRDefault="00021108" w:rsidP="00021108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21108" w:rsidRPr="00021108" w14:paraId="24A2A946" w14:textId="77777777" w:rsidTr="195D0129">
        <w:tc>
          <w:tcPr>
            <w:tcW w:w="3096" w:type="dxa"/>
            <w:vMerge w:val="restart"/>
          </w:tcPr>
          <w:p w14:paraId="46EFEE1D" w14:textId="77777777" w:rsidR="00021108" w:rsidRPr="00021108" w:rsidRDefault="00021108" w:rsidP="00021108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1108">
              <w:rPr>
                <w:rFonts w:ascii="Times New Roman" w:eastAsia="Calibri" w:hAnsi="Times New Roman" w:cs="Times New Roman"/>
              </w:rPr>
              <w:t>Państwa trzecie niestowarzyszone z programem z regionów 1–12</w:t>
            </w:r>
          </w:p>
        </w:tc>
        <w:tc>
          <w:tcPr>
            <w:tcW w:w="3096" w:type="dxa"/>
          </w:tcPr>
          <w:p w14:paraId="7D8EB82F" w14:textId="77777777" w:rsidR="00021108" w:rsidRPr="00021108" w:rsidRDefault="00021108" w:rsidP="00021108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1108">
              <w:rPr>
                <w:rFonts w:ascii="Times New Roman" w:eastAsia="Calibri" w:hAnsi="Times New Roman" w:cs="Times New Roman"/>
              </w:rPr>
              <w:t>Grupa 1 państw członkowskich UE i państw trzecich stowarzyszonych z programem</w:t>
            </w:r>
          </w:p>
        </w:tc>
        <w:tc>
          <w:tcPr>
            <w:tcW w:w="3096" w:type="dxa"/>
          </w:tcPr>
          <w:p w14:paraId="673CCCB9" w14:textId="77777777" w:rsidR="00021108" w:rsidRPr="00021108" w:rsidRDefault="00021108" w:rsidP="00021108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1108">
              <w:rPr>
                <w:rFonts w:ascii="Times New Roman" w:eastAsia="Calibri" w:hAnsi="Times New Roman" w:cs="Times New Roman"/>
              </w:rPr>
              <w:t>900 EUR na miesiąc</w:t>
            </w:r>
          </w:p>
          <w:p w14:paraId="2286B38B" w14:textId="77777777" w:rsidR="00021108" w:rsidRPr="00021108" w:rsidRDefault="00021108" w:rsidP="00021108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21108" w:rsidRPr="00021108" w14:paraId="534CE9AF" w14:textId="77777777" w:rsidTr="195D0129">
        <w:tc>
          <w:tcPr>
            <w:tcW w:w="3096" w:type="dxa"/>
            <w:vMerge/>
          </w:tcPr>
          <w:p w14:paraId="0F44AABD" w14:textId="77777777" w:rsidR="00021108" w:rsidRPr="00021108" w:rsidRDefault="00021108" w:rsidP="00021108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096" w:type="dxa"/>
          </w:tcPr>
          <w:p w14:paraId="5856D300" w14:textId="77777777" w:rsidR="00021108" w:rsidRPr="00021108" w:rsidRDefault="00021108" w:rsidP="00021108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1108">
              <w:rPr>
                <w:rFonts w:ascii="Times New Roman" w:eastAsia="Calibri" w:hAnsi="Times New Roman" w:cs="Times New Roman"/>
              </w:rPr>
              <w:t>Grupa 2 państw członkowskich UE i państw trzecich stowarzyszonych z programem</w:t>
            </w:r>
          </w:p>
        </w:tc>
        <w:tc>
          <w:tcPr>
            <w:tcW w:w="3096" w:type="dxa"/>
          </w:tcPr>
          <w:p w14:paraId="15E985A3" w14:textId="77777777" w:rsidR="00021108" w:rsidRPr="00021108" w:rsidRDefault="00021108" w:rsidP="00021108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1108">
              <w:rPr>
                <w:rFonts w:ascii="Times New Roman" w:eastAsia="Calibri" w:hAnsi="Times New Roman" w:cs="Times New Roman"/>
              </w:rPr>
              <w:t>850 EUR na miesiąc</w:t>
            </w:r>
          </w:p>
          <w:p w14:paraId="3AB88180" w14:textId="77777777" w:rsidR="00021108" w:rsidRPr="00021108" w:rsidRDefault="00021108" w:rsidP="00021108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21108" w:rsidRPr="00021108" w14:paraId="5345531F" w14:textId="77777777" w:rsidTr="195D0129">
        <w:tc>
          <w:tcPr>
            <w:tcW w:w="3096" w:type="dxa"/>
            <w:vMerge/>
          </w:tcPr>
          <w:p w14:paraId="48ADC4C7" w14:textId="77777777" w:rsidR="00021108" w:rsidRPr="00021108" w:rsidRDefault="00021108" w:rsidP="00021108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3096" w:type="dxa"/>
          </w:tcPr>
          <w:p w14:paraId="4D62D6D7" w14:textId="77777777" w:rsidR="00021108" w:rsidRPr="00021108" w:rsidRDefault="00021108" w:rsidP="00021108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1108">
              <w:rPr>
                <w:rFonts w:ascii="Times New Roman" w:eastAsia="Calibri" w:hAnsi="Times New Roman" w:cs="Times New Roman"/>
              </w:rPr>
              <w:t>Grupa 3 państw członkowskich UE i państw trzecich stowarzyszonych z programem</w:t>
            </w:r>
          </w:p>
        </w:tc>
        <w:tc>
          <w:tcPr>
            <w:tcW w:w="3096" w:type="dxa"/>
          </w:tcPr>
          <w:p w14:paraId="63D8DA0F" w14:textId="77777777" w:rsidR="00021108" w:rsidRPr="00021108" w:rsidRDefault="00021108" w:rsidP="00021108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21108">
              <w:rPr>
                <w:rFonts w:ascii="Times New Roman" w:eastAsia="Calibri" w:hAnsi="Times New Roman" w:cs="Times New Roman"/>
              </w:rPr>
              <w:t>800 EUR na miesiąc</w:t>
            </w:r>
          </w:p>
          <w:p w14:paraId="11325721" w14:textId="77777777" w:rsidR="00021108" w:rsidRPr="00021108" w:rsidRDefault="00021108" w:rsidP="00021108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2592A6B4" w14:textId="77777777" w:rsidR="00021108" w:rsidRPr="00021108" w:rsidRDefault="00021108" w:rsidP="00021108">
      <w:pPr>
        <w:spacing w:after="0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</w:p>
    <w:p w14:paraId="06120416" w14:textId="77777777" w:rsidR="00021108" w:rsidRPr="00021108" w:rsidRDefault="00021108" w:rsidP="00470827">
      <w:pPr>
        <w:spacing w:after="0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021108">
        <w:rPr>
          <w:rFonts w:ascii="Times New Roman" w:eastAsia="Calibri" w:hAnsi="Times New Roman" w:cs="Times New Roman"/>
          <w:kern w:val="0"/>
          <w14:ligatures w14:val="none"/>
        </w:rPr>
        <w:t>Dopłata uzupełniająca dla studentów i niedawnych absolwentów o mniejszych szansach ma w tym przypadku zastosowanie.</w:t>
      </w:r>
    </w:p>
    <w:p w14:paraId="78BC1424" w14:textId="77777777" w:rsidR="00A5133F" w:rsidRDefault="00A5133F" w:rsidP="00470827">
      <w:pPr>
        <w:spacing w:after="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0249E97" w14:textId="77777777" w:rsidR="00A5133F" w:rsidRDefault="00A5133F" w:rsidP="00470827">
      <w:pPr>
        <w:spacing w:after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5133F">
        <w:rPr>
          <w:rFonts w:ascii="Times New Roman" w:eastAsia="Calibri" w:hAnsi="Times New Roman" w:cs="Times New Roman"/>
          <w:b/>
          <w:bCs/>
          <w:kern w:val="0"/>
          <w14:ligatures w14:val="none"/>
        </w:rPr>
        <w:t>[</w:t>
      </w:r>
      <w:r w:rsidRPr="00A5133F">
        <w:rPr>
          <w:rFonts w:ascii="Times New Roman" w:eastAsia="Calibri" w:hAnsi="Times New Roman" w:cs="Times New Roman"/>
          <w:kern w:val="0"/>
          <w14:ligatures w14:val="none"/>
        </w:rPr>
        <w:t>Wariant w przypadku akcji kluczowej 131 w zakresie szkolnictwa wyższego:</w:t>
      </w:r>
      <w:r w:rsidRPr="00A5133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021108" w:rsidRPr="00021108">
        <w:rPr>
          <w:rFonts w:ascii="Times New Roman" w:eastAsia="Calibri" w:hAnsi="Times New Roman" w:cs="Times New Roman"/>
          <w:kern w:val="0"/>
          <w14:ligatures w14:val="none"/>
        </w:rPr>
        <w:t>Dopłata uzupełniająca na praktyki będzie miała zastosowanie wyłącznie w przypadku mobilności do państw trzecich niestowarzyszonych z programem z regionów 13 i 14.</w:t>
      </w:r>
      <w:r>
        <w:rPr>
          <w:rFonts w:ascii="Times New Roman" w:eastAsia="Calibri" w:hAnsi="Times New Roman" w:cs="Times New Roman"/>
          <w:kern w:val="0"/>
          <w14:ligatures w14:val="none"/>
        </w:rPr>
        <w:t>]</w:t>
      </w:r>
    </w:p>
    <w:p w14:paraId="7C337869" w14:textId="7E2E4547" w:rsidR="00021108" w:rsidRPr="00021108" w:rsidRDefault="00021108" w:rsidP="00470827">
      <w:pPr>
        <w:spacing w:after="0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02110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D9F4BBB" w14:textId="77777777" w:rsidR="00021108" w:rsidRPr="00021108" w:rsidRDefault="00021108" w:rsidP="00470827">
      <w:pPr>
        <w:spacing w:after="0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021108">
        <w:rPr>
          <w:rFonts w:ascii="Times New Roman" w:eastAsia="Calibri" w:hAnsi="Times New Roman" w:cs="Times New Roman"/>
          <w:kern w:val="0"/>
          <w14:ligatures w14:val="none"/>
        </w:rPr>
        <w:t>Państwa członkowskie UE i państwa trzecie stowarzyszone z programem obejmują regiony najbardziej oddalone oraz kraje i terytoria zamorskie.</w:t>
      </w:r>
    </w:p>
    <w:p w14:paraId="43291AE0" w14:textId="77777777" w:rsidR="00021108" w:rsidRPr="00021108" w:rsidRDefault="00021108" w:rsidP="00470827">
      <w:pPr>
        <w:spacing w:after="0"/>
        <w:jc w:val="both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</w:p>
    <w:p w14:paraId="1AF8EA54" w14:textId="14337FBA" w:rsidR="00021108" w:rsidRPr="00021108" w:rsidRDefault="00021108" w:rsidP="00B6112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347138FE">
        <w:rPr>
          <w:rFonts w:ascii="Times New Roman" w:eastAsia="Calibri" w:hAnsi="Times New Roman" w:cs="Times New Roman"/>
          <w:b/>
          <w:bCs/>
          <w:kern w:val="0"/>
          <w14:ligatures w14:val="none"/>
        </w:rPr>
        <w:t>[</w:t>
      </w:r>
      <w:r w:rsidR="0C6671CC" w:rsidRPr="00B61126">
        <w:rPr>
          <w:rFonts w:ascii="Times New Roman" w:eastAsia="Calibri" w:hAnsi="Times New Roman" w:cs="Times New Roman"/>
        </w:rPr>
        <w:t xml:space="preserve">Wariant w przypadku </w:t>
      </w:r>
      <w:r w:rsidRPr="347138FE">
        <w:rPr>
          <w:rFonts w:ascii="Times New Roman" w:eastAsia="Calibri" w:hAnsi="Times New Roman" w:cs="Times New Roman"/>
          <w:kern w:val="0"/>
          <w14:ligatures w14:val="none"/>
        </w:rPr>
        <w:t>akcji kluczowej 131</w:t>
      </w:r>
      <w:r w:rsidR="0C6671CC" w:rsidRPr="0C6671CC">
        <w:rPr>
          <w:rFonts w:ascii="Times New Roman" w:eastAsia="Calibri" w:hAnsi="Times New Roman" w:cs="Times New Roman"/>
        </w:rPr>
        <w:t xml:space="preserve"> w zakresie szkolnictwa wyższego:</w:t>
      </w:r>
      <w:r w:rsidRPr="347138F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C6671CC" w:rsidRPr="0C6671CC">
        <w:rPr>
          <w:rFonts w:ascii="Times New Roman" w:eastAsia="Calibri" w:hAnsi="Times New Roman" w:cs="Times New Roman"/>
          <w:b/>
          <w:bCs/>
        </w:rPr>
        <w:t xml:space="preserve">Długoterminowa </w:t>
      </w:r>
      <w:r w:rsidRPr="347138F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mobilność studentów w celu odbycia praktyki </w:t>
      </w:r>
      <w:r w:rsidRPr="00021108">
        <w:rPr>
          <w:rFonts w:ascii="Times New Roman" w:eastAsia="Calibri" w:hAnsi="Times New Roman" w:cs="Times New Roman"/>
          <w:kern w:val="0"/>
          <w14:ligatures w14:val="none"/>
        </w:rPr>
        <w:t xml:space="preserve">do państw członkowskich UE i państw trzecich </w:t>
      </w:r>
      <w:r w:rsidRPr="00021108">
        <w:rPr>
          <w:rFonts w:ascii="Times New Roman" w:eastAsia="Calibri" w:hAnsi="Times New Roman" w:cs="Times New Roman"/>
          <w:kern w:val="0"/>
          <w14:ligatures w14:val="none"/>
        </w:rPr>
        <w:lastRenderedPageBreak/>
        <w:t>stowarzyszonych z programem oraz państw trzecich niestowarzyszonych z programem z regionów 13 i 14:</w:t>
      </w:r>
      <w:r w:rsidRPr="347138F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021108">
        <w:rPr>
          <w:rFonts w:ascii="Times New Roman" w:eastAsia="Calibri" w:hAnsi="Times New Roman" w:cs="Times New Roman"/>
          <w:kern w:val="0"/>
          <w14:ligatures w14:val="none"/>
        </w:rPr>
        <w:t xml:space="preserve">dodatkowa </w:t>
      </w:r>
      <w:r w:rsidRPr="347138FE">
        <w:rPr>
          <w:rFonts w:ascii="Times New Roman" w:eastAsia="Calibri" w:hAnsi="Times New Roman" w:cs="Times New Roman"/>
          <w:b/>
          <w:bCs/>
          <w:kern w:val="0"/>
          <w14:ligatures w14:val="none"/>
        </w:rPr>
        <w:t>dopłata uzupełniająca</w:t>
      </w:r>
      <w:r w:rsidRPr="00021108">
        <w:rPr>
          <w:rFonts w:ascii="Times New Roman" w:eastAsia="Calibri" w:hAnsi="Times New Roman" w:cs="Times New Roman"/>
          <w:kern w:val="0"/>
          <w14:ligatures w14:val="none"/>
        </w:rPr>
        <w:t xml:space="preserve"> podstawową kwotę wsparcia indywidualnego wynosi </w:t>
      </w:r>
      <w:r w:rsidRPr="347138FE">
        <w:rPr>
          <w:rFonts w:ascii="Times New Roman" w:eastAsia="Calibri" w:hAnsi="Times New Roman" w:cs="Times New Roman"/>
          <w:b/>
          <w:bCs/>
          <w:kern w:val="0"/>
          <w14:ligatures w14:val="none"/>
        </w:rPr>
        <w:t>150 EUR miesięcznie</w:t>
      </w:r>
      <w:r w:rsidRPr="00021108">
        <w:rPr>
          <w:rFonts w:ascii="Times New Roman" w:eastAsia="Calibri" w:hAnsi="Times New Roman" w:cs="Times New Roman"/>
          <w:kern w:val="0"/>
          <w14:ligatures w14:val="none"/>
        </w:rPr>
        <w:t>. Studenci i niedawni absolwenci o mniejszych szansach, którzy uczestniczą w praktykach, są uprawnieni do otrzymania zarówno dopłaty uzupełniającej dla studentów i niedawnych absolwentów o mniejszych szansach, jak i dopłaty uzupełniającej do praktyki.</w:t>
      </w:r>
      <w:r w:rsidR="00A5133F">
        <w:rPr>
          <w:rFonts w:ascii="Times New Roman" w:eastAsia="Calibri" w:hAnsi="Times New Roman" w:cs="Times New Roman"/>
          <w:kern w:val="0"/>
          <w14:ligatures w14:val="none"/>
        </w:rPr>
        <w:t>]</w:t>
      </w:r>
    </w:p>
    <w:p w14:paraId="5A426205" w14:textId="21594D88" w:rsidR="00021108" w:rsidRPr="00021108" w:rsidRDefault="0C6671CC" w:rsidP="347138FE">
      <w:pPr>
        <w:numPr>
          <w:ilvl w:val="0"/>
          <w:numId w:val="1"/>
        </w:numPr>
        <w:spacing w:after="0" w:line="276" w:lineRule="auto"/>
        <w:rPr>
          <w:rFonts w:ascii="Times New Roman" w:eastAsia="SimSun" w:hAnsi="Times New Roman" w:cs="Times New Roman"/>
          <w:kern w:val="0"/>
          <w14:ligatures w14:val="none"/>
        </w:rPr>
      </w:pPr>
      <w:r w:rsidRPr="0C6671CC">
        <w:rPr>
          <w:rFonts w:ascii="Times New Roman" w:eastAsia="Calibri" w:hAnsi="Times New Roman" w:cs="Times New Roman"/>
          <w:b/>
          <w:bCs/>
        </w:rPr>
        <w:t>Długoterminowa</w:t>
      </w:r>
      <w:r w:rsidR="00021108" w:rsidRPr="347138F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mobilność studentów i niedawnych absolwentów przynależących do grupy o mniejszych sz</w:t>
      </w:r>
      <w:r w:rsidRPr="0C6671CC">
        <w:rPr>
          <w:rFonts w:ascii="Times New Roman" w:eastAsia="Calibri" w:hAnsi="Times New Roman" w:cs="Times New Roman"/>
          <w:b/>
          <w:bCs/>
        </w:rPr>
        <w:t>a</w:t>
      </w:r>
      <w:r w:rsidR="00021108" w:rsidRPr="347138F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nsach: </w:t>
      </w:r>
      <w:r w:rsidR="00021108" w:rsidRPr="00021108">
        <w:rPr>
          <w:rFonts w:ascii="Times New Roman" w:eastAsia="Calibri" w:hAnsi="Times New Roman" w:cs="Times New Roman"/>
          <w:kern w:val="0"/>
          <w14:ligatures w14:val="none"/>
        </w:rPr>
        <w:t xml:space="preserve">dodatkowa </w:t>
      </w:r>
      <w:r w:rsidR="00021108" w:rsidRPr="347138FE">
        <w:rPr>
          <w:rFonts w:ascii="Times New Roman" w:eastAsia="Calibri" w:hAnsi="Times New Roman" w:cs="Times New Roman"/>
          <w:b/>
          <w:bCs/>
          <w:kern w:val="0"/>
          <w14:ligatures w14:val="none"/>
        </w:rPr>
        <w:t>dopłata uzupełniająca</w:t>
      </w:r>
      <w:r w:rsidR="00021108" w:rsidRPr="00021108">
        <w:rPr>
          <w:rFonts w:ascii="Times New Roman" w:eastAsia="Calibri" w:hAnsi="Times New Roman" w:cs="Times New Roman"/>
          <w:kern w:val="0"/>
          <w14:ligatures w14:val="none"/>
        </w:rPr>
        <w:t xml:space="preserve"> podstawową kwotę wsparcia indywidualnego </w:t>
      </w:r>
      <w:r w:rsidR="00021108" w:rsidRPr="00021108">
        <w:rPr>
          <w:rFonts w:ascii="Times New Roman" w:eastAsia="Calibri" w:hAnsi="Times New Roman" w:cs="Times New Roman"/>
          <w:snapToGrid w:val="0"/>
          <w:kern w:val="0"/>
          <w14:ligatures w14:val="none"/>
        </w:rPr>
        <w:t xml:space="preserve">wynosi </w:t>
      </w:r>
      <w:r w:rsidR="00021108" w:rsidRPr="347138FE">
        <w:rPr>
          <w:rFonts w:ascii="Times New Roman" w:eastAsia="Calibri" w:hAnsi="Times New Roman" w:cs="Times New Roman"/>
          <w:b/>
          <w:bCs/>
          <w:snapToGrid w:val="0"/>
          <w:kern w:val="0"/>
          <w14:ligatures w14:val="none"/>
        </w:rPr>
        <w:t>250 EUR miesięcznie</w:t>
      </w:r>
      <w:r w:rsidR="00021108" w:rsidRPr="00021108">
        <w:rPr>
          <w:rFonts w:ascii="Times New Roman" w:eastAsia="Calibri" w:hAnsi="Times New Roman" w:cs="Times New Roman"/>
          <w:snapToGrid w:val="0"/>
          <w:kern w:val="0"/>
          <w14:ligatures w14:val="none"/>
        </w:rPr>
        <w:t xml:space="preserve">. </w:t>
      </w:r>
    </w:p>
    <w:p w14:paraId="4B6C264D" w14:textId="24EEAC92" w:rsidR="00470827" w:rsidRPr="00470827" w:rsidRDefault="00021108" w:rsidP="00470827">
      <w:pPr>
        <w:numPr>
          <w:ilvl w:val="0"/>
          <w:numId w:val="1"/>
        </w:numPr>
        <w:spacing w:after="0" w:line="276" w:lineRule="auto"/>
        <w:ind w:left="709"/>
        <w:jc w:val="both"/>
        <w:rPr>
          <w:rFonts w:ascii="Calibri" w:eastAsia="SimSun" w:hAnsi="Calibri" w:cs="Arial"/>
          <w:kern w:val="0"/>
          <w14:ligatures w14:val="none"/>
        </w:rPr>
      </w:pPr>
      <w:r w:rsidRPr="0C6671CC">
        <w:rPr>
          <w:rFonts w:ascii="Times New Roman" w:eastAsia="Calibri" w:hAnsi="Times New Roman" w:cs="Times New Roman"/>
          <w:b/>
          <w:bCs/>
          <w:kern w:val="0"/>
          <w14:ligatures w14:val="none"/>
        </w:rPr>
        <w:t>Finansowane dni podróży</w:t>
      </w:r>
      <w:r w:rsidR="0C6671CC" w:rsidRPr="0C6671CC">
        <w:rPr>
          <w:rFonts w:ascii="Times New Roman" w:eastAsia="Calibri" w:hAnsi="Times New Roman" w:cs="Arial"/>
        </w:rPr>
        <w:t xml:space="preserve"> (w przypadku mobilności krótko- i długoterminowej): W razie potrzeby indywidualne wsparcie kosztów utrzymania jest kwalifikowalne w odniesieniu do czasu podróży przed rozpoczęciem i po zakończeniu działania, przy czym w przypadku uczestników i osób towarzyszących otrzymujących dofinansowanie kosztów podróży bez wykorzystania ekologicznych środków transportu pokrywa się maksymalnie koszty dwóch dni podróży, a w przypadku </w:t>
      </w:r>
      <w:r w:rsidR="00B41C97">
        <w:rPr>
          <w:rFonts w:ascii="Times New Roman" w:eastAsia="Calibri" w:hAnsi="Times New Roman" w:cs="Arial"/>
        </w:rPr>
        <w:t>podróży</w:t>
      </w:r>
      <w:r w:rsidR="0C6671CC" w:rsidRPr="0C6671CC">
        <w:rPr>
          <w:rFonts w:ascii="Times New Roman" w:eastAsia="Calibri" w:hAnsi="Times New Roman" w:cs="Arial"/>
        </w:rPr>
        <w:t xml:space="preserve"> z wykorzystaniem ekologicznych środków transportu – maksymalnie koszty sześciu dodatkowych dni.</w:t>
      </w:r>
    </w:p>
    <w:p w14:paraId="38D5432D" w14:textId="0F063E2E" w:rsidR="00021108" w:rsidRPr="00021108" w:rsidRDefault="00021108" w:rsidP="00B61126">
      <w:pPr>
        <w:spacing w:after="0" w:line="276" w:lineRule="auto"/>
        <w:ind w:left="720"/>
        <w:rPr>
          <w:rFonts w:ascii="Times New Roman" w:eastAsia="SimSun" w:hAnsi="Times New Roman" w:cs="Times New Roman"/>
          <w:kern w:val="0"/>
          <w14:ligatures w14:val="none"/>
        </w:rPr>
      </w:pPr>
    </w:p>
    <w:p w14:paraId="1E6D030B" w14:textId="77777777" w:rsidR="00021108" w:rsidRPr="00021108" w:rsidRDefault="00021108" w:rsidP="00021108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571A7677" w14:textId="77777777" w:rsidR="00021108" w:rsidRPr="00021108" w:rsidRDefault="00021108" w:rsidP="00021108">
      <w:pPr>
        <w:spacing w:after="0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  <w:r w:rsidRPr="00021108">
        <w:rPr>
          <w:rFonts w:ascii="Times New Roman" w:eastAsia="Calibri" w:hAnsi="Times New Roman" w:cs="Times New Roman"/>
          <w:b/>
          <w:kern w:val="0"/>
          <w14:ligatures w14:val="none"/>
        </w:rPr>
        <w:t>3. Wsparcie organizacyjne</w:t>
      </w:r>
    </w:p>
    <w:p w14:paraId="2D3F9949" w14:textId="77777777" w:rsidR="00021108" w:rsidRPr="00021108" w:rsidRDefault="00021108" w:rsidP="00021108">
      <w:pPr>
        <w:spacing w:after="0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7BE84821" w14:textId="77777777" w:rsidR="00021108" w:rsidRPr="00021108" w:rsidRDefault="00021108" w:rsidP="0000004C">
      <w:pPr>
        <w:spacing w:after="0"/>
        <w:jc w:val="both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  <w:r w:rsidRPr="00021108">
        <w:rPr>
          <w:rFonts w:ascii="Times New Roman" w:eastAsia="Calibri" w:hAnsi="Times New Roman" w:cs="Times New Roman"/>
          <w:b/>
          <w:kern w:val="0"/>
          <w14:ligatures w14:val="none"/>
        </w:rPr>
        <w:t>Wsparcie organizacyjne w zakresie mobilności</w:t>
      </w:r>
    </w:p>
    <w:p w14:paraId="19240630" w14:textId="77777777" w:rsidR="00021108" w:rsidRPr="00021108" w:rsidRDefault="00021108" w:rsidP="0000004C">
      <w:pPr>
        <w:spacing w:after="0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160E1E01" w14:textId="0A83FBA1" w:rsidR="00021108" w:rsidRPr="00021108" w:rsidRDefault="00470827" w:rsidP="0000004C">
      <w:pPr>
        <w:spacing w:after="0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[</w:t>
      </w:r>
      <w:bookmarkStart w:id="0" w:name="_Hlk166166554"/>
      <w:r>
        <w:rPr>
          <w:rFonts w:ascii="Times New Roman" w:eastAsia="Calibri" w:hAnsi="Times New Roman" w:cs="Times New Roman"/>
          <w:kern w:val="0"/>
          <w14:ligatures w14:val="none"/>
        </w:rPr>
        <w:t>Wariant w przypadku akcji kluczowej 131 w zakresie szkolnictwa wyższego:]</w:t>
      </w:r>
      <w:bookmarkEnd w:id="0"/>
      <w:r w:rsidR="00021108" w:rsidRPr="00021108">
        <w:rPr>
          <w:rFonts w:ascii="Times New Roman" w:eastAsia="Calibri" w:hAnsi="Times New Roman" w:cs="Times New Roman"/>
          <w:kern w:val="0"/>
          <w14:ligatures w14:val="none"/>
        </w:rPr>
        <w:t xml:space="preserve"> do 100 uczestników: 400 EUR na uczestnika</w:t>
      </w:r>
    </w:p>
    <w:p w14:paraId="36A1D98A" w14:textId="77777777" w:rsidR="00021108" w:rsidRPr="00021108" w:rsidRDefault="00021108" w:rsidP="0000004C">
      <w:pPr>
        <w:spacing w:after="0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021108">
        <w:rPr>
          <w:rFonts w:ascii="Times New Roman" w:eastAsia="Calibri" w:hAnsi="Times New Roman" w:cs="Times New Roman"/>
          <w:kern w:val="0"/>
          <w14:ligatures w14:val="none"/>
        </w:rPr>
        <w:t>po przekroczeniu liczby 100 uczestników: 230 EUR na każdego dodatkowego uczestnika.</w:t>
      </w:r>
    </w:p>
    <w:p w14:paraId="7A23606A" w14:textId="77777777" w:rsidR="00021108" w:rsidRPr="00021108" w:rsidRDefault="00021108" w:rsidP="0000004C">
      <w:pPr>
        <w:spacing w:after="0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3A36C82E" w14:textId="0458FE06" w:rsidR="00021108" w:rsidRPr="00021108" w:rsidRDefault="00470827" w:rsidP="0000004C">
      <w:pPr>
        <w:spacing w:after="0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[</w:t>
      </w:r>
      <w:r w:rsidRPr="00470827">
        <w:rPr>
          <w:rFonts w:ascii="Times New Roman" w:eastAsia="Calibri" w:hAnsi="Times New Roman" w:cs="Times New Roman"/>
          <w:kern w:val="0"/>
          <w14:ligatures w14:val="none"/>
        </w:rPr>
        <w:t>Wariant w przypadku akcji kluczowej 1</w:t>
      </w:r>
      <w:r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470827">
        <w:rPr>
          <w:rFonts w:ascii="Times New Roman" w:eastAsia="Calibri" w:hAnsi="Times New Roman" w:cs="Times New Roman"/>
          <w:kern w:val="0"/>
          <w14:ligatures w14:val="none"/>
        </w:rPr>
        <w:t>1 w zakresie szkolnictwa wyższego:]</w:t>
      </w:r>
      <w:r w:rsidR="00021108" w:rsidRPr="00021108">
        <w:rPr>
          <w:rFonts w:ascii="Times New Roman" w:eastAsia="Calibri" w:hAnsi="Times New Roman" w:cs="Times New Roman"/>
          <w:kern w:val="0"/>
          <w14:ligatures w14:val="none"/>
        </w:rPr>
        <w:t xml:space="preserve"> 500 EUR na uczestnika.</w:t>
      </w:r>
    </w:p>
    <w:p w14:paraId="62AA6859" w14:textId="77777777" w:rsidR="00021108" w:rsidRPr="00021108" w:rsidRDefault="00021108" w:rsidP="0000004C">
      <w:pPr>
        <w:spacing w:after="0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41AE02B8" w14:textId="735F262B" w:rsidR="00470827" w:rsidRDefault="00470827" w:rsidP="0000004C">
      <w:pPr>
        <w:spacing w:after="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1" w:name="_Hlk196911302"/>
      <w:r>
        <w:rPr>
          <w:rFonts w:ascii="Times New Roman" w:eastAsia="Calibri" w:hAnsi="Times New Roman" w:cs="Times New Roman"/>
          <w:b/>
          <w:kern w:val="0"/>
          <w14:ligatures w14:val="none"/>
        </w:rPr>
        <w:t>[</w:t>
      </w:r>
      <w:r w:rsidRPr="00B61126">
        <w:rPr>
          <w:rFonts w:ascii="Times New Roman" w:eastAsia="Calibri" w:hAnsi="Times New Roman" w:cs="Times New Roman"/>
          <w:bCs/>
          <w:kern w:val="0"/>
          <w14:ligatures w14:val="none"/>
        </w:rPr>
        <w:t>Wariant w przypadku akcji kluczowej 131 w zakresie szkolnictwa wyższego:</w:t>
      </w:r>
    </w:p>
    <w:bookmarkEnd w:id="1"/>
    <w:p w14:paraId="3E71FDCB" w14:textId="344E7A13" w:rsidR="00021108" w:rsidRPr="00021108" w:rsidRDefault="00021108" w:rsidP="0000004C">
      <w:pPr>
        <w:spacing w:after="0"/>
        <w:jc w:val="both"/>
        <w:rPr>
          <w:rFonts w:ascii="Times New Roman" w:eastAsia="Calibri" w:hAnsi="Times New Roman" w:cs="Times New Roman"/>
          <w:b/>
          <w:kern w:val="0"/>
          <w:szCs w:val="24"/>
          <w14:ligatures w14:val="none"/>
        </w:rPr>
      </w:pPr>
      <w:r w:rsidRPr="00021108">
        <w:rPr>
          <w:rFonts w:ascii="Times New Roman" w:eastAsia="Calibri" w:hAnsi="Times New Roman" w:cs="Times New Roman"/>
          <w:b/>
          <w:kern w:val="0"/>
          <w14:ligatures w14:val="none"/>
        </w:rPr>
        <w:t>Wsparcie organizacyjne w zakresie mieszanego programu intensywnego</w:t>
      </w:r>
    </w:p>
    <w:p w14:paraId="54FDE938" w14:textId="4639FF47" w:rsidR="00021108" w:rsidRDefault="00021108" w:rsidP="0000004C">
      <w:pPr>
        <w:spacing w:after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1108">
        <w:rPr>
          <w:rFonts w:ascii="Times New Roman" w:eastAsia="Calibri" w:hAnsi="Times New Roman" w:cs="Times New Roman"/>
          <w:kern w:val="0"/>
          <w14:ligatures w14:val="none"/>
        </w:rPr>
        <w:t xml:space="preserve">400 EUR na uczestnika </w:t>
      </w:r>
      <w:r w:rsidR="00470827">
        <w:rPr>
          <w:rFonts w:ascii="Times New Roman" w:eastAsia="Calibri" w:hAnsi="Times New Roman" w:cs="Times New Roman"/>
          <w:kern w:val="0"/>
          <w14:ligatures w14:val="none"/>
        </w:rPr>
        <w:t xml:space="preserve">przy minimalnej liczbie 10 i maksymalnie 20 mobilnych </w:t>
      </w:r>
      <w:r w:rsidRPr="00021108">
        <w:rPr>
          <w:rFonts w:ascii="Times New Roman" w:eastAsia="Calibri" w:hAnsi="Times New Roman" w:cs="Times New Roman"/>
          <w:kern w:val="0"/>
          <w14:ligatures w14:val="none"/>
        </w:rPr>
        <w:t>osób uczących się,</w:t>
      </w:r>
      <w:r w:rsidR="00A15A0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470827">
        <w:rPr>
          <w:rFonts w:ascii="Times New Roman" w:eastAsia="Calibri" w:hAnsi="Times New Roman" w:cs="Times New Roman"/>
          <w:kern w:val="0"/>
          <w14:ligatures w14:val="none"/>
        </w:rPr>
        <w:t>korzystających z dofinansowania z programu Erasmus+</w:t>
      </w:r>
      <w:r w:rsidRPr="00021108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750EDA">
        <w:rPr>
          <w:rFonts w:ascii="Times New Roman" w:eastAsia="Calibri" w:hAnsi="Times New Roman" w:cs="Times New Roman"/>
          <w:kern w:val="0"/>
          <w14:ligatures w14:val="none"/>
        </w:rPr>
        <w:t>]</w:t>
      </w:r>
    </w:p>
    <w:p w14:paraId="71D3E74B" w14:textId="77777777" w:rsidR="0000004C" w:rsidRPr="00021108" w:rsidRDefault="0000004C" w:rsidP="0000004C">
      <w:pPr>
        <w:spacing w:after="0"/>
        <w:jc w:val="both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6EFC9FB8" w14:textId="77777777" w:rsidR="00021108" w:rsidRPr="00021108" w:rsidRDefault="00021108" w:rsidP="00021108">
      <w:pPr>
        <w:spacing w:after="0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021108">
        <w:rPr>
          <w:rFonts w:ascii="Times New Roman" w:eastAsia="Calibri" w:hAnsi="Times New Roman" w:cs="Times New Roman"/>
          <w:b/>
          <w:kern w:val="0"/>
          <w14:ligatures w14:val="none"/>
        </w:rPr>
        <w:t>4. Wsparcie włączenia dla organizacji</w:t>
      </w:r>
    </w:p>
    <w:p w14:paraId="6C885020" w14:textId="77777777" w:rsidR="00021108" w:rsidRPr="00021108" w:rsidRDefault="00021108" w:rsidP="00021108">
      <w:pPr>
        <w:spacing w:after="0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4476C63F" w14:textId="7A94E34B" w:rsidR="00021108" w:rsidRPr="00021108" w:rsidRDefault="0C6671CC" w:rsidP="0C6671CC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C6671CC">
        <w:rPr>
          <w:rFonts w:ascii="Times New Roman" w:eastAsia="Calibri" w:hAnsi="Times New Roman" w:cs="Times New Roman"/>
        </w:rPr>
        <w:t>125</w:t>
      </w:r>
      <w:r w:rsidR="00021108" w:rsidRPr="00021108">
        <w:rPr>
          <w:rFonts w:ascii="Times New Roman" w:eastAsia="Calibri" w:hAnsi="Times New Roman" w:cs="Times New Roman"/>
          <w:kern w:val="0"/>
          <w14:ligatures w14:val="none"/>
        </w:rPr>
        <w:t xml:space="preserve"> EUR na uczestnika na pokrycie kosztów związanych z organizacją działań w zakresie mobilności dla uczestników o mniejszych szansach, którzy otrzymują dodatkowe wsparcie w oparciu o rzeczywiste koszty w ramach kategorii budżetowej wsparcie </w:t>
      </w:r>
      <w:r w:rsidR="00E55CD3">
        <w:rPr>
          <w:rFonts w:ascii="Times New Roman" w:eastAsia="Calibri" w:hAnsi="Times New Roman" w:cs="Times New Roman"/>
          <w:kern w:val="0"/>
          <w14:ligatures w14:val="none"/>
        </w:rPr>
        <w:t>włączenia</w:t>
      </w:r>
      <w:r w:rsidR="00021108" w:rsidRPr="00021108">
        <w:rPr>
          <w:rFonts w:ascii="Times New Roman" w:eastAsia="Calibri" w:hAnsi="Times New Roman" w:cs="Times New Roman"/>
          <w:kern w:val="0"/>
          <w14:ligatures w14:val="none"/>
        </w:rPr>
        <w:t xml:space="preserve"> uczestników.</w:t>
      </w:r>
    </w:p>
    <w:p w14:paraId="099C3DE9" w14:textId="77777777" w:rsidR="00A05DE9" w:rsidRDefault="00A05DE9"/>
    <w:p w14:paraId="7C40CEDE" w14:textId="77777777" w:rsidR="00E55CD3" w:rsidRPr="00E55CD3" w:rsidRDefault="00E55CD3" w:rsidP="00E55CD3"/>
    <w:p w14:paraId="70D57CE8" w14:textId="77777777" w:rsidR="00E55CD3" w:rsidRPr="00E55CD3" w:rsidRDefault="00E55CD3" w:rsidP="00E55CD3"/>
    <w:p w14:paraId="496BA600" w14:textId="77777777" w:rsidR="00E55CD3" w:rsidRPr="00E55CD3" w:rsidRDefault="00E55CD3" w:rsidP="00E55CD3"/>
    <w:p w14:paraId="4FAB5A14" w14:textId="77777777" w:rsidR="00E55CD3" w:rsidRPr="00E55CD3" w:rsidRDefault="00E55CD3" w:rsidP="00E55CD3"/>
    <w:p w14:paraId="0146227D" w14:textId="77777777" w:rsidR="00E55CD3" w:rsidRPr="00E55CD3" w:rsidRDefault="00E55CD3" w:rsidP="00E55CD3"/>
    <w:p w14:paraId="4762E3C1" w14:textId="77777777" w:rsidR="00E55CD3" w:rsidRPr="00E55CD3" w:rsidRDefault="00E55CD3" w:rsidP="00E55CD3"/>
    <w:p w14:paraId="19FF157C" w14:textId="77777777" w:rsidR="00E55CD3" w:rsidRPr="00E55CD3" w:rsidRDefault="00E55CD3" w:rsidP="00E55CD3"/>
    <w:p w14:paraId="030D334D" w14:textId="77777777" w:rsidR="00E55CD3" w:rsidRPr="00E55CD3" w:rsidRDefault="00E55CD3" w:rsidP="00E55CD3"/>
    <w:p w14:paraId="3D09C0EF" w14:textId="77777777" w:rsidR="00E55CD3" w:rsidRPr="00E55CD3" w:rsidRDefault="00E55CD3" w:rsidP="00E55CD3"/>
    <w:p w14:paraId="1560A2F5" w14:textId="77777777" w:rsidR="00E55CD3" w:rsidRPr="00E55CD3" w:rsidRDefault="00E55CD3" w:rsidP="00E55CD3"/>
    <w:p w14:paraId="51EE8158" w14:textId="77777777" w:rsidR="00E55CD3" w:rsidRPr="00E55CD3" w:rsidRDefault="00E55CD3" w:rsidP="00E55CD3"/>
    <w:p w14:paraId="7A99B7CE" w14:textId="77777777" w:rsidR="00E55CD3" w:rsidRPr="00E55CD3" w:rsidRDefault="00E55CD3" w:rsidP="00E55CD3"/>
    <w:p w14:paraId="45B01A46" w14:textId="77777777" w:rsidR="00E55CD3" w:rsidRPr="00E55CD3" w:rsidRDefault="00E55CD3" w:rsidP="00E55CD3"/>
    <w:p w14:paraId="085FBFD9" w14:textId="77777777" w:rsidR="00E55CD3" w:rsidRPr="00E55CD3" w:rsidRDefault="00E55CD3" w:rsidP="00E55CD3"/>
    <w:p w14:paraId="752E358F" w14:textId="77777777" w:rsidR="00E55CD3" w:rsidRPr="00E55CD3" w:rsidRDefault="00E55CD3" w:rsidP="00E55CD3"/>
    <w:p w14:paraId="395A5F0F" w14:textId="77777777" w:rsidR="00E55CD3" w:rsidRPr="00E55CD3" w:rsidRDefault="00E55CD3" w:rsidP="00E55CD3"/>
    <w:p w14:paraId="4BACD3B9" w14:textId="77777777" w:rsidR="00E55CD3" w:rsidRPr="00E55CD3" w:rsidRDefault="00E55CD3" w:rsidP="00E55CD3"/>
    <w:p w14:paraId="6D61982D" w14:textId="77777777" w:rsidR="00E55CD3" w:rsidRPr="00E55CD3" w:rsidRDefault="00E55CD3" w:rsidP="00E55CD3"/>
    <w:p w14:paraId="34F30136" w14:textId="77777777" w:rsidR="00E55CD3" w:rsidRPr="00E55CD3" w:rsidRDefault="00E55CD3" w:rsidP="00E55CD3"/>
    <w:p w14:paraId="45C3DECA" w14:textId="77777777" w:rsidR="00E55CD3" w:rsidRPr="00E55CD3" w:rsidRDefault="00E55CD3" w:rsidP="00E55CD3"/>
    <w:p w14:paraId="64C3C4F9" w14:textId="77777777" w:rsidR="00E55CD3" w:rsidRPr="00E55CD3" w:rsidRDefault="00E55CD3" w:rsidP="00E55CD3"/>
    <w:p w14:paraId="4FFEFAE5" w14:textId="77777777" w:rsidR="00E55CD3" w:rsidRPr="00E55CD3" w:rsidRDefault="00E55CD3" w:rsidP="00E55CD3"/>
    <w:p w14:paraId="0D6B63B2" w14:textId="77777777" w:rsidR="00E55CD3" w:rsidRPr="00E55CD3" w:rsidRDefault="00E55CD3" w:rsidP="00E55CD3"/>
    <w:p w14:paraId="0115DA16" w14:textId="77777777" w:rsidR="00E55CD3" w:rsidRPr="00E55CD3" w:rsidRDefault="00E55CD3" w:rsidP="00E55CD3"/>
    <w:sectPr w:rsidR="00E55CD3" w:rsidRPr="00E55CD3" w:rsidSect="00021108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1495" w14:textId="77777777" w:rsidR="005560F0" w:rsidRDefault="005560F0">
      <w:pPr>
        <w:spacing w:after="0" w:line="240" w:lineRule="auto"/>
      </w:pPr>
      <w:r>
        <w:separator/>
      </w:r>
    </w:p>
  </w:endnote>
  <w:endnote w:type="continuationSeparator" w:id="0">
    <w:p w14:paraId="0D7A77B3" w14:textId="77777777" w:rsidR="005560F0" w:rsidRDefault="005560F0">
      <w:pPr>
        <w:spacing w:after="0" w:line="240" w:lineRule="auto"/>
      </w:pPr>
      <w:r>
        <w:continuationSeparator/>
      </w:r>
    </w:p>
  </w:endnote>
  <w:endnote w:type="continuationNotice" w:id="1">
    <w:p w14:paraId="1D489036" w14:textId="77777777" w:rsidR="005560F0" w:rsidRDefault="005560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284E" w14:textId="3CFE44B8" w:rsidR="00DD1707" w:rsidRPr="00E55CD3" w:rsidRDefault="00DD1707">
    <w:pPr>
      <w:pStyle w:val="Stopka"/>
      <w:rPr>
        <w:rFonts w:ascii="Times New Roman" w:eastAsia="Times New Roman" w:hAnsi="Times New Roman" w:cs="Times New Roman"/>
        <w:color w:val="5B9BD5"/>
        <w:sz w:val="20"/>
        <w:szCs w:val="20"/>
      </w:rPr>
    </w:pPr>
    <w:r w:rsidRPr="00E55CD3">
      <w:rPr>
        <w:rFonts w:ascii="Times New Roman" w:hAnsi="Times New Roman" w:cs="Times New Roman"/>
        <w:noProof/>
        <w:color w:val="5B9BD5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00B43C" wp14:editId="500F3D4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5241966B">
            <v:rect id="Prostokąt 77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67171" strokeweight="1.25pt" w14:anchorId="04F9A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">
              <w10:wrap anchorx="page" anchory="page"/>
            </v:rect>
          </w:pict>
        </mc:Fallback>
      </mc:AlternateContent>
    </w:r>
    <w:r w:rsidRPr="00E55CD3">
      <w:rPr>
        <w:rFonts w:ascii="Times New Roman" w:eastAsia="Times New Roman" w:hAnsi="Times New Roman" w:cs="Times New Roman"/>
        <w:color w:val="808080"/>
        <w:sz w:val="20"/>
        <w:szCs w:val="20"/>
      </w:rPr>
      <w:t xml:space="preserve">str. </w:t>
    </w:r>
    <w:r w:rsidRPr="00E55CD3">
      <w:rPr>
        <w:rFonts w:ascii="Times New Roman" w:eastAsia="Times New Roman" w:hAnsi="Times New Roman" w:cs="Times New Roman"/>
        <w:color w:val="808080"/>
        <w:sz w:val="20"/>
        <w:szCs w:val="20"/>
      </w:rPr>
      <w:fldChar w:fldCharType="begin"/>
    </w:r>
    <w:r w:rsidRPr="00E55CD3">
      <w:rPr>
        <w:rFonts w:ascii="Times New Roman" w:hAnsi="Times New Roman" w:cs="Times New Roman"/>
        <w:color w:val="808080"/>
        <w:sz w:val="20"/>
        <w:szCs w:val="20"/>
      </w:rPr>
      <w:instrText>PAGE    \* MERGEFORMAT</w:instrText>
    </w:r>
    <w:r w:rsidRPr="00E55CD3">
      <w:rPr>
        <w:rFonts w:ascii="Times New Roman" w:eastAsia="Times New Roman" w:hAnsi="Times New Roman" w:cs="Times New Roman"/>
        <w:color w:val="808080"/>
        <w:sz w:val="20"/>
        <w:szCs w:val="20"/>
      </w:rPr>
      <w:fldChar w:fldCharType="separate"/>
    </w:r>
    <w:r w:rsidRPr="00E55CD3">
      <w:rPr>
        <w:rFonts w:ascii="Times New Roman" w:eastAsia="Times New Roman" w:hAnsi="Times New Roman" w:cs="Times New Roman"/>
        <w:color w:val="808080"/>
        <w:sz w:val="20"/>
        <w:szCs w:val="20"/>
      </w:rPr>
      <w:t>2</w:t>
    </w:r>
    <w:r w:rsidRPr="00E55CD3">
      <w:rPr>
        <w:rFonts w:ascii="Times New Roman" w:eastAsia="Times New Roman" w:hAnsi="Times New Roman" w:cs="Times New Roman"/>
        <w:color w:val="808080"/>
        <w:sz w:val="20"/>
        <w:szCs w:val="20"/>
      </w:rPr>
      <w:fldChar w:fldCharType="end"/>
    </w:r>
  </w:p>
  <w:p w14:paraId="4827E345" w14:textId="77777777" w:rsidR="00DD1707" w:rsidRPr="00C42954" w:rsidRDefault="00DD1707" w:rsidP="00E55CD3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Szkolnictwo Wyższe</w:t>
    </w:r>
    <w:r w:rsidRPr="00C42954">
      <w:rPr>
        <w:rFonts w:ascii="Times New Roman" w:hAnsi="Times New Roman" w:cs="Times New Roman"/>
        <w:color w:val="000000"/>
        <w:sz w:val="20"/>
        <w:szCs w:val="20"/>
      </w:rPr>
      <w:t xml:space="preserve"> (</w:t>
    </w:r>
    <w:r>
      <w:rPr>
        <w:rFonts w:ascii="Times New Roman" w:hAnsi="Times New Roman" w:cs="Times New Roman"/>
        <w:color w:val="000000"/>
        <w:sz w:val="20"/>
        <w:szCs w:val="20"/>
      </w:rPr>
      <w:t>HED</w:t>
    </w:r>
    <w:r w:rsidRPr="00C42954">
      <w:rPr>
        <w:rFonts w:ascii="Times New Roman" w:hAnsi="Times New Roman" w:cs="Times New Roman"/>
        <w:color w:val="000000"/>
        <w:sz w:val="20"/>
        <w:szCs w:val="20"/>
      </w:rPr>
      <w:t xml:space="preserve">) – Erasmus+ Mobilność edukacyjna (KA1) </w:t>
    </w:r>
  </w:p>
  <w:p w14:paraId="3D46AAFA" w14:textId="77777777" w:rsidR="00DD1707" w:rsidRPr="00794CEB" w:rsidRDefault="00DD1707" w:rsidP="00E55CD3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hAnsi="Times New Roman"/>
        <w:sz w:val="24"/>
      </w:rPr>
    </w:pPr>
    <w:r w:rsidRPr="00C42954">
      <w:rPr>
        <w:rFonts w:ascii="Times New Roman" w:hAnsi="Times New Roman" w:cs="Times New Roman"/>
        <w:color w:val="000000"/>
        <w:sz w:val="20"/>
        <w:szCs w:val="20"/>
      </w:rPr>
      <w:t>http://erasmusplus.org.pl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8C30" w14:textId="77777777" w:rsidR="005560F0" w:rsidRDefault="005560F0">
      <w:pPr>
        <w:spacing w:after="0" w:line="240" w:lineRule="auto"/>
      </w:pPr>
      <w:r>
        <w:separator/>
      </w:r>
    </w:p>
  </w:footnote>
  <w:footnote w:type="continuationSeparator" w:id="0">
    <w:p w14:paraId="76BD7D6E" w14:textId="77777777" w:rsidR="005560F0" w:rsidRDefault="005560F0">
      <w:pPr>
        <w:spacing w:after="0" w:line="240" w:lineRule="auto"/>
      </w:pPr>
      <w:r>
        <w:continuationSeparator/>
      </w:r>
    </w:p>
  </w:footnote>
  <w:footnote w:type="continuationNotice" w:id="1">
    <w:p w14:paraId="388C0AA5" w14:textId="77777777" w:rsidR="005560F0" w:rsidRDefault="005560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4BAA"/>
    <w:multiLevelType w:val="hybridMultilevel"/>
    <w:tmpl w:val="DED04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41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08"/>
    <w:rsid w:val="0000004C"/>
    <w:rsid w:val="00021108"/>
    <w:rsid w:val="000265D6"/>
    <w:rsid w:val="000933E5"/>
    <w:rsid w:val="000A0E10"/>
    <w:rsid w:val="000A4363"/>
    <w:rsid w:val="000E1FB4"/>
    <w:rsid w:val="000E2EE0"/>
    <w:rsid w:val="00107B90"/>
    <w:rsid w:val="00144778"/>
    <w:rsid w:val="00150CEE"/>
    <w:rsid w:val="00151551"/>
    <w:rsid w:val="00221579"/>
    <w:rsid w:val="00247C41"/>
    <w:rsid w:val="00276D0D"/>
    <w:rsid w:val="002D34B5"/>
    <w:rsid w:val="002E6BB7"/>
    <w:rsid w:val="002F2965"/>
    <w:rsid w:val="002F3918"/>
    <w:rsid w:val="00325EDA"/>
    <w:rsid w:val="003433E4"/>
    <w:rsid w:val="003461AB"/>
    <w:rsid w:val="003C4CB7"/>
    <w:rsid w:val="004170F4"/>
    <w:rsid w:val="00470827"/>
    <w:rsid w:val="004D6D5E"/>
    <w:rsid w:val="004E5670"/>
    <w:rsid w:val="005560F0"/>
    <w:rsid w:val="005A4A44"/>
    <w:rsid w:val="005B0484"/>
    <w:rsid w:val="00625231"/>
    <w:rsid w:val="00676CA3"/>
    <w:rsid w:val="00750EDA"/>
    <w:rsid w:val="00756369"/>
    <w:rsid w:val="00760993"/>
    <w:rsid w:val="00762E9F"/>
    <w:rsid w:val="00834317"/>
    <w:rsid w:val="00837900"/>
    <w:rsid w:val="008B6632"/>
    <w:rsid w:val="00972948"/>
    <w:rsid w:val="009D71E0"/>
    <w:rsid w:val="00A05DE9"/>
    <w:rsid w:val="00A15A00"/>
    <w:rsid w:val="00A43B31"/>
    <w:rsid w:val="00A5133F"/>
    <w:rsid w:val="00A95594"/>
    <w:rsid w:val="00AC01EA"/>
    <w:rsid w:val="00AE26D5"/>
    <w:rsid w:val="00AF3904"/>
    <w:rsid w:val="00B37511"/>
    <w:rsid w:val="00B41C97"/>
    <w:rsid w:val="00B61126"/>
    <w:rsid w:val="00BA2E52"/>
    <w:rsid w:val="00C55796"/>
    <w:rsid w:val="00C55880"/>
    <w:rsid w:val="00CE618E"/>
    <w:rsid w:val="00D26EB1"/>
    <w:rsid w:val="00D33419"/>
    <w:rsid w:val="00DD1707"/>
    <w:rsid w:val="00E55CD3"/>
    <w:rsid w:val="00E84A6E"/>
    <w:rsid w:val="00E952A0"/>
    <w:rsid w:val="00ED1234"/>
    <w:rsid w:val="00FD592E"/>
    <w:rsid w:val="00FE1335"/>
    <w:rsid w:val="0234869E"/>
    <w:rsid w:val="05875468"/>
    <w:rsid w:val="08CF759A"/>
    <w:rsid w:val="0C6671CC"/>
    <w:rsid w:val="0E80F11F"/>
    <w:rsid w:val="195D0129"/>
    <w:rsid w:val="22820971"/>
    <w:rsid w:val="347138FE"/>
    <w:rsid w:val="390C41F5"/>
    <w:rsid w:val="394872A7"/>
    <w:rsid w:val="3A163303"/>
    <w:rsid w:val="4673FF49"/>
    <w:rsid w:val="4F315CB3"/>
    <w:rsid w:val="50C964C2"/>
    <w:rsid w:val="5BBA9261"/>
    <w:rsid w:val="5BFF5956"/>
    <w:rsid w:val="660FF0CC"/>
    <w:rsid w:val="71E2DCB2"/>
    <w:rsid w:val="74F8E93D"/>
    <w:rsid w:val="7C739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B36B"/>
  <w15:chartTrackingRefBased/>
  <w15:docId w15:val="{3843B155-A99D-4D04-A6CF-B10D43DC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1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1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1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1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1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1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1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1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1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1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11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11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11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11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11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1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1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1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1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1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11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11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11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1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11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110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21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108"/>
  </w:style>
  <w:style w:type="paragraph" w:styleId="Stopka">
    <w:name w:val="footer"/>
    <w:basedOn w:val="Normalny"/>
    <w:link w:val="StopkaZnak"/>
    <w:uiPriority w:val="99"/>
    <w:unhideWhenUsed/>
    <w:rsid w:val="00021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108"/>
  </w:style>
  <w:style w:type="table" w:customStyle="1" w:styleId="TableGrid4">
    <w:name w:val="Table Grid4"/>
    <w:basedOn w:val="Standardowy"/>
    <w:next w:val="Tabela-Siatka"/>
    <w:uiPriority w:val="59"/>
    <w:rsid w:val="000211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21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E6BB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63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63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63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63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63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1245</Words>
  <Characters>7475</Characters>
  <Application>Microsoft Office Word</Application>
  <DocSecurity>0</DocSecurity>
  <Lines>62</Lines>
  <Paragraphs>17</Paragraphs>
  <ScaleCrop>false</ScaleCrop>
  <Company>Fundacja Rozwoju Systemu Edukacji</Company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Drzewicka</dc:creator>
  <cp:keywords/>
  <dc:description/>
  <cp:lastModifiedBy>Barbara Drzewicka</cp:lastModifiedBy>
  <cp:revision>3</cp:revision>
  <dcterms:created xsi:type="dcterms:W3CDTF">2025-05-12T21:28:00Z</dcterms:created>
  <dcterms:modified xsi:type="dcterms:W3CDTF">2025-06-24T10:45:00Z</dcterms:modified>
</cp:coreProperties>
</file>