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5D238EE2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bookmarkStart w:id="0" w:name="_GoBack"/>
      <w:bookmarkEnd w:id="0"/>
      <w:r w:rsidRPr="00DD7571">
        <w:rPr>
          <w:rFonts w:eastAsia="Calibri"/>
          <w:lang w:eastAsia="ar-SA"/>
        </w:rPr>
        <w:t xml:space="preserve">Regulaminu nr </w:t>
      </w:r>
      <w:r w:rsidR="005F1567">
        <w:rPr>
          <w:rFonts w:eastAsia="Calibri"/>
          <w:lang w:eastAsia="ar-SA"/>
        </w:rPr>
        <w:t>5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1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1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54BC9194" w:rsidR="00AE3252" w:rsidRPr="00E06FC1" w:rsidRDefault="005F156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Formularz danych osobowych </w:t>
      </w:r>
      <w:r w:rsidR="00AE3252" w:rsidRPr="00E06FC1">
        <w:t xml:space="preserve">- </w:t>
      </w:r>
      <w:r w:rsidR="00AE3252"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45BEF042" w14:textId="5C12B527" w:rsidR="001B51D5" w:rsidRPr="00E06FC1" w:rsidRDefault="005F156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</w:t>
      </w:r>
      <w:r w:rsidR="00611234" w:rsidRPr="00E06FC1">
        <w:t xml:space="preserve">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24E0D775" w:rsidR="008237CB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Form</w:t>
      </w:r>
      <w:r w:rsidR="00C61B87" w:rsidRPr="00E06FC1">
        <w:rPr>
          <w:b/>
          <w:bCs/>
        </w:rPr>
        <w:t>y</w:t>
      </w:r>
      <w:r w:rsidRPr="00E06FC1">
        <w:rPr>
          <w:b/>
          <w:bCs/>
        </w:rPr>
        <w:t xml:space="preserve"> wsparcia </w:t>
      </w:r>
      <w:r w:rsidR="00C61B87" w:rsidRPr="00E06FC1">
        <w:rPr>
          <w:b/>
          <w:bCs/>
        </w:rPr>
        <w:t xml:space="preserve">realizowane w ramach Regulaminu nr </w:t>
      </w:r>
      <w:r w:rsidR="005F1567">
        <w:rPr>
          <w:b/>
          <w:bCs/>
        </w:rPr>
        <w:t>5</w:t>
      </w:r>
      <w:r w:rsidRPr="00E06FC1">
        <w:t xml:space="preserve"> </w:t>
      </w:r>
      <w:r w:rsidR="004953B8" w:rsidRPr="00E06FC1">
        <w:t>–</w:t>
      </w:r>
      <w:r w:rsidR="00002FC8" w:rsidRPr="00E06FC1">
        <w:t xml:space="preserve"> </w:t>
      </w:r>
      <w:r w:rsidR="005F1567">
        <w:t xml:space="preserve">Kurs przygotowujący </w:t>
      </w:r>
      <w:r w:rsidR="005F1567">
        <w:rPr>
          <w:rFonts w:cs="Arial"/>
        </w:rPr>
        <w:t>do matury rozszerzonej z biologii oraz kurs przygotowujący do matury rozszerzonej z chemii, w których uczestniczyć będzie Uczestnik/czka projektu.</w:t>
      </w:r>
    </w:p>
    <w:p w14:paraId="29E92B08" w14:textId="07DBD62D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</w:t>
      </w:r>
      <w:r w:rsidR="005F1567">
        <w:rPr>
          <w:rFonts w:cs="Arial"/>
        </w:rPr>
        <w:t>oznacza ucznia/uczennicę szkoły ponadpodstawowej (liceum, technikum) ubiegającego/cą się o udział w projekcie.</w:t>
      </w:r>
    </w:p>
    <w:p w14:paraId="71249C75" w14:textId="17B7028A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EE2BC8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lastRenderedPageBreak/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77777777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i</w:t>
      </w:r>
      <w:r w:rsidR="0066450E" w:rsidRPr="00434F2E">
        <w:t xml:space="preserve"> </w:t>
      </w:r>
      <w:r w:rsidRPr="00434F2E">
        <w:t>pracowników przedsiębiorstw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3681DF45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B03383" w:rsidRPr="00434F2E">
        <w:t>29</w:t>
      </w:r>
      <w:r w:rsidR="003C271B" w:rsidRPr="00434F2E">
        <w:t>.06.2026 r</w:t>
      </w:r>
      <w:r w:rsidR="0066450E" w:rsidRPr="00434F2E">
        <w:t>.</w:t>
      </w:r>
    </w:p>
    <w:p w14:paraId="3F3224E2" w14:textId="0F1B10EC" w:rsidR="00275828" w:rsidRPr="00A419CD" w:rsidRDefault="00AF5A7B" w:rsidP="009D167B">
      <w:pPr>
        <w:pStyle w:val="Nagwek2"/>
      </w:pPr>
      <w:r w:rsidRPr="00A419CD"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</w:p>
    <w:p w14:paraId="2DDD404D" w14:textId="4BB77697" w:rsidR="0085401F" w:rsidRDefault="002D74B3" w:rsidP="00F16330">
      <w:pPr>
        <w:pStyle w:val="Podtytu"/>
        <w:numPr>
          <w:ilvl w:val="0"/>
          <w:numId w:val="31"/>
        </w:numPr>
        <w:spacing w:line="320" w:lineRule="atLeast"/>
      </w:pPr>
      <w:r>
        <w:t>W ramach projektu przewidziane jest przeprowadzenie 2 typów intensywnych kursów maturalnych w 2 edycjach.</w:t>
      </w:r>
    </w:p>
    <w:p w14:paraId="786D43B2" w14:textId="0CBCF0CD" w:rsidR="002D74B3" w:rsidRPr="002D74B3" w:rsidRDefault="002D74B3" w:rsidP="00F16330">
      <w:pPr>
        <w:pStyle w:val="Nagwek3"/>
        <w:numPr>
          <w:ilvl w:val="0"/>
          <w:numId w:val="32"/>
        </w:numPr>
        <w:ind w:left="993"/>
        <w:rPr>
          <w:rFonts w:ascii="Arial" w:hAnsi="Arial" w:cs="Arial"/>
          <w:b/>
          <w:color w:val="000000" w:themeColor="text1"/>
        </w:rPr>
      </w:pPr>
      <w:r w:rsidRPr="002D74B3">
        <w:rPr>
          <w:rFonts w:ascii="Arial" w:hAnsi="Arial" w:cs="Arial"/>
          <w:b/>
          <w:color w:val="000000" w:themeColor="text1"/>
        </w:rPr>
        <w:t>Kurs przygotowujący do matury rozszerzonej z biologii:</w:t>
      </w:r>
    </w:p>
    <w:p w14:paraId="118F9D85" w14:textId="46C59C28" w:rsidR="002D74B3" w:rsidRDefault="002D74B3" w:rsidP="00F16330">
      <w:pPr>
        <w:pStyle w:val="Podtytu"/>
        <w:numPr>
          <w:ilvl w:val="0"/>
          <w:numId w:val="8"/>
        </w:numPr>
        <w:spacing w:line="320" w:lineRule="atLeast"/>
        <w:ind w:left="1276"/>
      </w:pPr>
      <w:r>
        <w:t>Czas trwania: 45 godzin zajęć dydaktycznych(15 godzin stacjonarnie + 30 godzin zajęć online)</w:t>
      </w:r>
    </w:p>
    <w:p w14:paraId="260496A8" w14:textId="0090D39F" w:rsidR="002D74B3" w:rsidRPr="002D74B3" w:rsidRDefault="002D74B3" w:rsidP="00F16330">
      <w:pPr>
        <w:pStyle w:val="Podtytu"/>
        <w:numPr>
          <w:ilvl w:val="0"/>
          <w:numId w:val="8"/>
        </w:numPr>
        <w:ind w:left="1276"/>
      </w:pPr>
      <w:r w:rsidRPr="002D74B3">
        <w:t>Dostęp do testów, zadań i materiałów online.</w:t>
      </w:r>
    </w:p>
    <w:p w14:paraId="7AE05121" w14:textId="31793268" w:rsidR="002D74B3" w:rsidRDefault="002D74B3" w:rsidP="00F16330">
      <w:pPr>
        <w:pStyle w:val="Podtytu"/>
        <w:numPr>
          <w:ilvl w:val="0"/>
          <w:numId w:val="8"/>
        </w:numPr>
        <w:spacing w:line="320" w:lineRule="atLeast"/>
        <w:ind w:left="1276"/>
      </w:pPr>
      <w:r>
        <w:t>Zakres najważniejszych umiejętności:</w:t>
      </w:r>
    </w:p>
    <w:p w14:paraId="782D61A2" w14:textId="77777777" w:rsid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t>Naukowe rozumowanie,</w:t>
      </w:r>
    </w:p>
    <w:p w14:paraId="7A32BC5D" w14:textId="77777777" w:rsid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t>Argumentowanie i wnioskowanie,</w:t>
      </w:r>
    </w:p>
    <w:p w14:paraId="585CC563" w14:textId="77777777" w:rsid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t>Projektowanie doświadczeń,</w:t>
      </w:r>
    </w:p>
    <w:p w14:paraId="3BB8F77E" w14:textId="77777777" w:rsid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t>Analiza wyników</w:t>
      </w:r>
    </w:p>
    <w:p w14:paraId="1294E87C" w14:textId="77777777" w:rsid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lastRenderedPageBreak/>
        <w:t>Stosowanie statystycznej</w:t>
      </w:r>
    </w:p>
    <w:p w14:paraId="4A332199" w14:textId="77DFFBD8" w:rsidR="002D74B3" w:rsidRPr="002D74B3" w:rsidRDefault="002D74B3" w:rsidP="00F16330">
      <w:pPr>
        <w:pStyle w:val="Podtytu"/>
        <w:numPr>
          <w:ilvl w:val="2"/>
          <w:numId w:val="20"/>
        </w:numPr>
        <w:spacing w:line="320" w:lineRule="atLeast"/>
        <w:ind w:left="1701"/>
      </w:pPr>
      <w:r>
        <w:t>Rozwiązywanie problemów biologicznych.</w:t>
      </w:r>
    </w:p>
    <w:p w14:paraId="42B3D377" w14:textId="58EAA3DC" w:rsidR="0085401F" w:rsidRDefault="0085401F" w:rsidP="00F16330">
      <w:pPr>
        <w:pStyle w:val="Podtytu"/>
        <w:numPr>
          <w:ilvl w:val="0"/>
          <w:numId w:val="20"/>
        </w:numPr>
        <w:spacing w:line="320" w:lineRule="atLeast"/>
        <w:rPr>
          <w:rFonts w:cs="Arial"/>
          <w:b/>
        </w:rPr>
      </w:pPr>
      <w:r w:rsidRPr="002D74B3">
        <w:rPr>
          <w:rFonts w:cs="Arial"/>
          <w:b/>
        </w:rPr>
        <w:t>Kurs przygotowujący do matury rozszerzonej z</w:t>
      </w:r>
      <w:r>
        <w:rPr>
          <w:rFonts w:cs="Arial"/>
          <w:b/>
        </w:rPr>
        <w:t xml:space="preserve"> chemii</w:t>
      </w:r>
    </w:p>
    <w:p w14:paraId="60415C70" w14:textId="0857D029" w:rsidR="0085401F" w:rsidRDefault="0085401F" w:rsidP="00F16330">
      <w:pPr>
        <w:pStyle w:val="Podtytu"/>
        <w:numPr>
          <w:ilvl w:val="0"/>
          <w:numId w:val="23"/>
        </w:numPr>
        <w:spacing w:line="320" w:lineRule="atLeast"/>
        <w:ind w:left="1276"/>
      </w:pPr>
      <w:r>
        <w:t>Czas trwania: 45 godzin zajęć dydaktycznych(15 godzin stacjonarnie + 30 godzin zajęć online)</w:t>
      </w:r>
    </w:p>
    <w:p w14:paraId="46842BAC" w14:textId="26752262" w:rsidR="0085401F" w:rsidRPr="002D74B3" w:rsidRDefault="0085401F" w:rsidP="00F16330">
      <w:pPr>
        <w:pStyle w:val="Podtytu"/>
        <w:numPr>
          <w:ilvl w:val="0"/>
          <w:numId w:val="23"/>
        </w:numPr>
        <w:ind w:left="1276"/>
      </w:pPr>
      <w:r w:rsidRPr="002D74B3">
        <w:t>Dostęp do testów, zadań i materiałów online.</w:t>
      </w:r>
    </w:p>
    <w:p w14:paraId="578C5068" w14:textId="77777777" w:rsidR="0085401F" w:rsidRDefault="0085401F" w:rsidP="00F16330">
      <w:pPr>
        <w:pStyle w:val="Podtytu"/>
        <w:numPr>
          <w:ilvl w:val="0"/>
          <w:numId w:val="23"/>
        </w:numPr>
        <w:spacing w:line="320" w:lineRule="atLeast"/>
        <w:ind w:left="1276"/>
      </w:pPr>
      <w:r>
        <w:t>Zakres najważniejszych umiejętności:</w:t>
      </w:r>
    </w:p>
    <w:p w14:paraId="3959277D" w14:textId="77777777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Rozumowanie,</w:t>
      </w:r>
    </w:p>
    <w:p w14:paraId="0BCF9CB5" w14:textId="77777777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 xml:space="preserve">Argumentowanie </w:t>
      </w:r>
    </w:p>
    <w:p w14:paraId="1F02F2E9" w14:textId="77777777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Wnioskowanie oraz formułowanie opinii,</w:t>
      </w:r>
    </w:p>
    <w:p w14:paraId="4D35BE4B" w14:textId="77777777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Wykorzystywanie informacji zawartych w różnorodnych materiałach źródłowych do rozwiązywania problemów</w:t>
      </w:r>
    </w:p>
    <w:p w14:paraId="4076B7E6" w14:textId="77777777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Projektowanie doświadczeń chemicznych oraz konstruowanie wykresów, tabel i schematów,</w:t>
      </w:r>
    </w:p>
    <w:p w14:paraId="78E90BA3" w14:textId="19EEAAE6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Przestrzeganie zasad bezpieczeństwa pracy w laboratorium,</w:t>
      </w:r>
    </w:p>
    <w:p w14:paraId="3255DB1D" w14:textId="41835129" w:rsidR="0085401F" w:rsidRDefault="0085401F" w:rsidP="00F16330">
      <w:pPr>
        <w:pStyle w:val="Podtytu"/>
        <w:numPr>
          <w:ilvl w:val="2"/>
          <w:numId w:val="22"/>
        </w:numPr>
        <w:spacing w:line="320" w:lineRule="atLeast"/>
        <w:ind w:left="1701"/>
      </w:pPr>
      <w:r>
        <w:t>Stosownie narzędzi matematycznych w analizie zjawisk chemicznych.</w:t>
      </w:r>
    </w:p>
    <w:p w14:paraId="18DD20FB" w14:textId="6E4FBAD7" w:rsidR="00F16330" w:rsidRDefault="0085401F" w:rsidP="00F16330">
      <w:pPr>
        <w:pStyle w:val="Podtytu"/>
        <w:numPr>
          <w:ilvl w:val="0"/>
          <w:numId w:val="31"/>
        </w:numPr>
        <w:spacing w:line="320" w:lineRule="atLeast"/>
      </w:pPr>
      <w:r>
        <w:t>Rozumienie praw biologicznych oraz dostrzeganie współzależności między faktami</w:t>
      </w:r>
      <w:r w:rsidRPr="000B6A7E">
        <w:t xml:space="preserve"> </w:t>
      </w:r>
      <w:r>
        <w:t>biologicznymi,</w:t>
      </w:r>
      <w:r w:rsidR="00F16330" w:rsidRPr="00F16330">
        <w:t xml:space="preserve"> </w:t>
      </w:r>
      <w:r w:rsidR="00F16330">
        <w:t>Forma zajęć: Zajęcia będą prowadzone w formule hybrydowej (stacjonarnie oraz zdalnie), z wykorzystaniem dostępnych na Uczelni narzędzi dydaktycznych w specjalistycznych pracowniach.</w:t>
      </w:r>
    </w:p>
    <w:p w14:paraId="7647008B" w14:textId="77777777" w:rsidR="00F16330" w:rsidRDefault="00F16330" w:rsidP="00F16330">
      <w:pPr>
        <w:pStyle w:val="Podtytu"/>
        <w:numPr>
          <w:ilvl w:val="0"/>
          <w:numId w:val="31"/>
        </w:numPr>
        <w:spacing w:line="320" w:lineRule="atLeast"/>
      </w:pPr>
      <w:r>
        <w:t>Organizacja zajęć:</w:t>
      </w:r>
    </w:p>
    <w:p w14:paraId="1CECB9A7" w14:textId="77777777" w:rsidR="00F16330" w:rsidRDefault="00F16330" w:rsidP="00F16330">
      <w:pPr>
        <w:pStyle w:val="Podtytu"/>
        <w:numPr>
          <w:ilvl w:val="0"/>
          <w:numId w:val="27"/>
        </w:numPr>
        <w:spacing w:line="320" w:lineRule="atLeast"/>
      </w:pPr>
      <w:r>
        <w:t xml:space="preserve">Harmonogram: Kursy będą odbywać się 1-2 razy w tygodniu według ustalonego harmonogramu lub zgodnie z potrzebami UP pod warunkiem dostępności </w:t>
      </w:r>
      <w:proofErr w:type="spellStart"/>
      <w:r>
        <w:t>sal</w:t>
      </w:r>
      <w:proofErr w:type="spellEnd"/>
      <w:r>
        <w:t xml:space="preserve"> i prowadzących.</w:t>
      </w:r>
    </w:p>
    <w:p w14:paraId="22C3BE74" w14:textId="3B1447B8" w:rsidR="0085401F" w:rsidRDefault="00F16330" w:rsidP="00F16330">
      <w:pPr>
        <w:pStyle w:val="Podtytu"/>
        <w:numPr>
          <w:ilvl w:val="0"/>
          <w:numId w:val="27"/>
        </w:numPr>
        <w:spacing w:line="320" w:lineRule="atLeast"/>
      </w:pPr>
      <w:r>
        <w:t>Wielkość grup: Zajęcia stacjonarne będą prowadzone w małych grupach liczących ok 8 12 osób.</w:t>
      </w:r>
    </w:p>
    <w:p w14:paraId="7A6EF793" w14:textId="44985FDD" w:rsidR="000B5589" w:rsidRPr="000B5589" w:rsidRDefault="00FF3820" w:rsidP="009D167B">
      <w:pPr>
        <w:pStyle w:val="Nagwek2"/>
      </w:pPr>
      <w:bookmarkStart w:id="2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057CA70A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3" w:name="_Hlk185253876"/>
      <w:r w:rsidRPr="00246689">
        <w:rPr>
          <w:rFonts w:eastAsia="Times New Roman"/>
        </w:rPr>
        <w:t>Projekt skierowany jest do uczniów/uczennic dwóch ostatnich klas szkoły ponadpodstawowej (liceum, technikum) spełniających łącznie następujące warunki:</w:t>
      </w:r>
    </w:p>
    <w:p w14:paraId="1A20E528" w14:textId="5B7D53E5" w:rsidR="00246689" w:rsidRPr="00246689" w:rsidRDefault="00246689" w:rsidP="00246689">
      <w:pPr>
        <w:pStyle w:val="Podtytu"/>
        <w:numPr>
          <w:ilvl w:val="0"/>
          <w:numId w:val="28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uczących się lub mieszkających na terenie obszaru wsparcia,</w:t>
      </w:r>
    </w:p>
    <w:p w14:paraId="7B03DDAF" w14:textId="77777777" w:rsidR="00246689" w:rsidRPr="00246689" w:rsidRDefault="00246689" w:rsidP="00246689">
      <w:pPr>
        <w:pStyle w:val="Podtytu"/>
        <w:numPr>
          <w:ilvl w:val="0"/>
          <w:numId w:val="28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zainteresowanych zdawaniem matury rozszerzonej z biologii lub chemii,</w:t>
      </w:r>
    </w:p>
    <w:p w14:paraId="5E5C7E94" w14:textId="72A2DF42" w:rsidR="00246689" w:rsidRPr="00246689" w:rsidRDefault="00246689" w:rsidP="00246689">
      <w:pPr>
        <w:pStyle w:val="Podtytu"/>
        <w:numPr>
          <w:ilvl w:val="0"/>
          <w:numId w:val="28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 xml:space="preserve">zainteresowanych studiowaniem na kierunkach medycznych oraz pokrewnych (np. lekarski, pielęgniarstwo, położnictwo, ratownictwo </w:t>
      </w:r>
      <w:r w:rsidRPr="00246689">
        <w:rPr>
          <w:rFonts w:eastAsia="Times New Roman"/>
        </w:rPr>
        <w:lastRenderedPageBreak/>
        <w:t>medyczne, fizjoterapia, biochemia, biologia, inżynieria medyczna, farmacja itp.).</w:t>
      </w:r>
    </w:p>
    <w:p w14:paraId="1D70E549" w14:textId="01855702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Rekrutacja do uczestnictwa w projekcie prowadzona będzie w dwóch turach, dla edycji kursów realizowanych:</w:t>
      </w:r>
    </w:p>
    <w:p w14:paraId="768CB71A" w14:textId="77777777" w:rsidR="00246689" w:rsidRDefault="00246689" w:rsidP="00246689">
      <w:pPr>
        <w:pStyle w:val="Podtytu"/>
        <w:numPr>
          <w:ilvl w:val="0"/>
          <w:numId w:val="2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w roku szkolnym 2024/2025,</w:t>
      </w:r>
    </w:p>
    <w:p w14:paraId="00A81857" w14:textId="7A9D8491" w:rsidR="00246689" w:rsidRPr="00246689" w:rsidRDefault="00246689" w:rsidP="00246689">
      <w:pPr>
        <w:pStyle w:val="Podtytu"/>
        <w:numPr>
          <w:ilvl w:val="0"/>
          <w:numId w:val="2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t>w roku szkolnym 2025/2026.</w:t>
      </w:r>
    </w:p>
    <w:p w14:paraId="56F657B3" w14:textId="32B8EB69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Planuje się objąć wsparciem łącznie 240 Uczestników/ek projektu.</w:t>
      </w:r>
    </w:p>
    <w:p w14:paraId="2DA61AF0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Do momentu osiągnięcia wskazanej liczby uczestników, jeden/na Uczestnik/czka może wziąć udział tylko w jednym kursie.</w:t>
      </w:r>
    </w:p>
    <w:p w14:paraId="586421FB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Kandydat/ka na etapie rekrutacji może zgłaszać szczególne potrzeby w zakresie różnych obszarów dostępności. Zgłoszenie potrzeby zobowiązuje Beneficjenta do realizacji usług dostępnościowych stanowiących odpowiedź na zgłaszane potrzeby zrealizowania w możliwie najwyższym stopniu.</w:t>
      </w:r>
    </w:p>
    <w:p w14:paraId="14788E40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W procesie rekrutacji zachowana zostanie Zasada Równości Szans, w rozumieniu Wytycznych w zakresie realizacji równości szans i niedyskryminacji, w tym dostępności dla osób z niepełnosprawnościami oraz zasady równości szans kobiet i mężczyzn w ramach funduszy unijnych na lata 2021-2027.</w:t>
      </w:r>
    </w:p>
    <w:p w14:paraId="7CC9F76A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Informacje o rekrutacji rozpowszechniane będą w ramach akcji promocyjno – informacyjnej, za pomocą strony internetowej projektu, spotkań</w:t>
      </w:r>
      <w:r>
        <w:rPr>
          <w:rFonts w:eastAsia="Times New Roman"/>
        </w:rPr>
        <w:t xml:space="preserve"> </w:t>
      </w:r>
      <w:r w:rsidRPr="00246689">
        <w:rPr>
          <w:rFonts w:eastAsia="Times New Roman"/>
        </w:rPr>
        <w:t>informacyjnych z uczniami, listu otwartego JM Rektora do szkół, na tablicach informacyjnych, poprzez portale społecznościowe.</w:t>
      </w:r>
    </w:p>
    <w:p w14:paraId="6B25A533" w14:textId="77777777" w:rsidR="00246689" w:rsidRPr="00246689" w:rsidRDefault="00246689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246689">
        <w:rPr>
          <w:rFonts w:eastAsia="Times New Roman"/>
        </w:rPr>
        <w:t>W celu uzyskania informacji nt. szczegółowego harmonogramu rekrutacji, należy na bieżąco śledzić stronę internetową projektu wskazaną w § 1 pkt. 9.</w:t>
      </w:r>
    </w:p>
    <w:bookmarkEnd w:id="3"/>
    <w:p w14:paraId="6DBDDC49" w14:textId="77777777" w:rsidR="00120C31" w:rsidRPr="000B5589" w:rsidRDefault="002B59E2" w:rsidP="00246689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7041F257" w14:textId="2CA9AE67" w:rsidR="002D0E67" w:rsidRPr="002D0E67" w:rsidRDefault="00E45CFA" w:rsidP="008579BF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2D0E67">
        <w:rPr>
          <w:rFonts w:eastAsia="Times New Roman"/>
          <w:i/>
        </w:rPr>
        <w:t>Etap I:</w:t>
      </w:r>
      <w:r w:rsidR="000B5589" w:rsidRPr="002D0E67">
        <w:rPr>
          <w:rFonts w:eastAsia="Times New Roman"/>
        </w:rPr>
        <w:t xml:space="preserve"> </w:t>
      </w:r>
      <w:r w:rsidR="002D0E67" w:rsidRPr="002D0E67">
        <w:rPr>
          <w:bCs/>
        </w:rPr>
        <w:t>Wypełnienie przez Kandydata/Kandydatkę dokumentów niezbędnych do udziału w projekcie. Dokumenty dostępne są w Biurze projektu oraz na stronie projektu.</w:t>
      </w:r>
      <w:r w:rsidR="002D0E67">
        <w:rPr>
          <w:bCs/>
        </w:rPr>
        <w:t xml:space="preserve"> </w:t>
      </w:r>
      <w:r w:rsidR="002D0E67" w:rsidRPr="002D0E67">
        <w:rPr>
          <w:bCs/>
        </w:rPr>
        <w:t>Dokumenty należy: wypełnić, podpisać i złożyć osobiście w Biurze projektu lub przesłać pocztą tradycyjną lub przesyłką kurierską wyłącznie na adres Biura projektu. W przypadku Kandydatów/ek małoletnich, wszelkie dokumenty rekrutacyjne muszą być podpisane także przez rodzica lub opiekuna prawnego</w:t>
      </w:r>
    </w:p>
    <w:p w14:paraId="510E5EC4" w14:textId="4F119304" w:rsidR="00CE106F" w:rsidRPr="002D0E67" w:rsidRDefault="00E879F9" w:rsidP="003F6972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2D0E67">
        <w:rPr>
          <w:i/>
        </w:rPr>
        <w:t>Etap II:</w:t>
      </w:r>
      <w:r w:rsidR="000B5589">
        <w:t xml:space="preserve"> </w:t>
      </w:r>
      <w:r w:rsidR="00CE106F" w:rsidRPr="002D0E67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2D0E67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246689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179646F8" w:rsidR="00102D2B" w:rsidRPr="000B5589" w:rsidRDefault="00CE106F" w:rsidP="00246689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lastRenderedPageBreak/>
        <w:t xml:space="preserve">W </w:t>
      </w:r>
      <w:r w:rsidR="00102D2B" w:rsidRPr="000B5589">
        <w:t xml:space="preserve">przypadku stwierdzenia braków formalnych w dokumentacji, Kandydat/ka będzie zobowiązany/a do ich uzupełnienia w terminie 3 dni roboczych od momentu otrzymania informacji. Brak uzupełnienia dokumentów </w:t>
      </w:r>
      <w:r w:rsidR="00CC7304">
        <w:t>może skutkować</w:t>
      </w:r>
      <w:r w:rsidR="00102D2B" w:rsidRPr="000B5589">
        <w:t xml:space="preserve"> odrzuceniem zgłoszenia.</w:t>
      </w:r>
    </w:p>
    <w:p w14:paraId="1635659D" w14:textId="4205BE48" w:rsidR="00D07B4A" w:rsidRPr="000B5589" w:rsidRDefault="004E52A2" w:rsidP="00246689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2FE7B82B" w14:textId="1BC7DE7C" w:rsidR="00F8628A" w:rsidRPr="00F8628A" w:rsidRDefault="000A2906" w:rsidP="002D0E67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tbl>
      <w:tblPr>
        <w:tblStyle w:val="Tabela-Siatka"/>
        <w:tblpPr w:leftFromText="141" w:rightFromText="141" w:vertAnchor="text" w:tblpX="-294" w:tblpY="1"/>
        <w:tblOverlap w:val="never"/>
        <w:tblW w:w="9787" w:type="dxa"/>
        <w:tblLook w:val="04A0" w:firstRow="1" w:lastRow="0" w:firstColumn="1" w:lastColumn="0" w:noHBand="0" w:noVBand="1"/>
        <w:tblCaption w:val="Tabela zawierająca kryteria obligatoryjne"/>
        <w:tblDescription w:val="Tabela zawiera liczbę pojedynczą, kryteria obligatoryjne, ocenę oraz żródła weryfikacji kryterium"/>
      </w:tblPr>
      <w:tblGrid>
        <w:gridCol w:w="576"/>
        <w:gridCol w:w="4631"/>
        <w:gridCol w:w="1070"/>
        <w:gridCol w:w="3510"/>
      </w:tblGrid>
      <w:tr w:rsidR="001F2F69" w:rsidRPr="00434F2E" w14:paraId="661BF8D1" w14:textId="77777777" w:rsidTr="002D0E67">
        <w:trPr>
          <w:trHeight w:hRule="exact" w:val="511"/>
          <w:tblHeader/>
        </w:trPr>
        <w:tc>
          <w:tcPr>
            <w:tcW w:w="576" w:type="dxa"/>
            <w:vAlign w:val="center"/>
          </w:tcPr>
          <w:p w14:paraId="708C846F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631" w:type="dxa"/>
            <w:vAlign w:val="center"/>
          </w:tcPr>
          <w:p w14:paraId="59C18A89" w14:textId="77777777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070" w:type="dxa"/>
            <w:vAlign w:val="center"/>
          </w:tcPr>
          <w:p w14:paraId="70EC9F7B" w14:textId="7DCD2885" w:rsidR="000A2906" w:rsidRPr="00434F2E" w:rsidRDefault="000A2906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3510" w:type="dxa"/>
            <w:vAlign w:val="center"/>
          </w:tcPr>
          <w:p w14:paraId="1867EDD6" w14:textId="5F91F768" w:rsidR="000A2906" w:rsidRPr="00434F2E" w:rsidRDefault="000B5589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1F2F69" w:rsidRPr="00434F2E" w14:paraId="0B215188" w14:textId="77777777" w:rsidTr="002D0E67">
        <w:trPr>
          <w:trHeight w:val="1513"/>
        </w:trPr>
        <w:tc>
          <w:tcPr>
            <w:tcW w:w="576" w:type="dxa"/>
            <w:vAlign w:val="center"/>
          </w:tcPr>
          <w:p w14:paraId="5A254E1B" w14:textId="6151DDAE" w:rsidR="001E438C" w:rsidRPr="00434F2E" w:rsidRDefault="002D0E67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1" w:type="dxa"/>
            <w:vAlign w:val="center"/>
          </w:tcPr>
          <w:p w14:paraId="64323607" w14:textId="41CCBDC8" w:rsidR="001E438C" w:rsidRPr="002D0E67" w:rsidRDefault="002D0E67" w:rsidP="002D0E67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D0E67">
              <w:rPr>
                <w:rFonts w:ascii="Arial" w:hAnsi="Arial" w:cs="Arial"/>
                <w:sz w:val="24"/>
                <w:szCs w:val="24"/>
              </w:rPr>
              <w:t>Osoba ucząca się lub mieszkająca na terenie obszaru wsparcia</w:t>
            </w:r>
          </w:p>
        </w:tc>
        <w:tc>
          <w:tcPr>
            <w:tcW w:w="1070" w:type="dxa"/>
            <w:vAlign w:val="center"/>
          </w:tcPr>
          <w:p w14:paraId="754F8AAC" w14:textId="544E90E7" w:rsidR="00B57993" w:rsidRPr="00434F2E" w:rsidRDefault="00B57993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10" w:type="dxa"/>
            <w:vAlign w:val="center"/>
          </w:tcPr>
          <w:p w14:paraId="01F41048" w14:textId="4334A88E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4629D2" w:rsidRPr="00434F2E">
              <w:rPr>
                <w:rFonts w:ascii="Arial" w:hAnsi="Arial" w:cs="Arial"/>
                <w:sz w:val="24"/>
                <w:szCs w:val="24"/>
              </w:rPr>
              <w:t xml:space="preserve">załączniku nr </w:t>
            </w:r>
            <w:r w:rsidR="002D0E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2F69" w:rsidRPr="00434F2E" w14:paraId="18F8CCE0" w14:textId="77777777" w:rsidTr="002D0E67">
        <w:trPr>
          <w:trHeight w:val="1546"/>
        </w:trPr>
        <w:tc>
          <w:tcPr>
            <w:tcW w:w="576" w:type="dxa"/>
            <w:vAlign w:val="center"/>
          </w:tcPr>
          <w:p w14:paraId="18418ACE" w14:textId="6EBD137B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1" w:type="dxa"/>
            <w:vAlign w:val="center"/>
          </w:tcPr>
          <w:p w14:paraId="2576B461" w14:textId="3972ABCC" w:rsidR="001E438C" w:rsidRPr="00434F2E" w:rsidRDefault="002D0E67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2D0E67">
              <w:rPr>
                <w:rFonts w:ascii="Arial" w:hAnsi="Arial" w:cs="Arial"/>
                <w:sz w:val="24"/>
                <w:szCs w:val="24"/>
              </w:rPr>
              <w:t>Statut uczenia/uczennicy dwóch ostatnich klas szkoły ponadpodstawowej (liceum, technikum)</w:t>
            </w:r>
          </w:p>
        </w:tc>
        <w:tc>
          <w:tcPr>
            <w:tcW w:w="1070" w:type="dxa"/>
            <w:vAlign w:val="center"/>
          </w:tcPr>
          <w:p w14:paraId="55F2B6A1" w14:textId="77777777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3510" w:type="dxa"/>
            <w:vAlign w:val="center"/>
          </w:tcPr>
          <w:p w14:paraId="4AE39C87" w14:textId="177CD15E" w:rsidR="001E438C" w:rsidRPr="00434F2E" w:rsidRDefault="001E438C" w:rsidP="009D167B">
            <w:pPr>
              <w:spacing w:line="320" w:lineRule="atLeast"/>
              <w:rPr>
                <w:rFonts w:ascii="Arial" w:hAnsi="Arial" w:cs="Arial"/>
                <w:sz w:val="24"/>
                <w:szCs w:val="24"/>
              </w:rPr>
            </w:pPr>
            <w:r w:rsidRPr="00434F2E">
              <w:rPr>
                <w:rFonts w:ascii="Arial" w:hAnsi="Arial" w:cs="Arial"/>
                <w:sz w:val="24"/>
                <w:szCs w:val="24"/>
              </w:rPr>
              <w:t xml:space="preserve">Kryterium zostanie zweryfikowane na podstawie oświadczenia Kandydata/ki zawartego w </w:t>
            </w:r>
            <w:r w:rsidR="004629D2" w:rsidRPr="00434F2E">
              <w:rPr>
                <w:rFonts w:ascii="Arial" w:hAnsi="Arial" w:cs="Arial"/>
                <w:sz w:val="24"/>
                <w:szCs w:val="24"/>
              </w:rPr>
              <w:t>z</w:t>
            </w:r>
            <w:r w:rsidR="00416650" w:rsidRPr="00434F2E">
              <w:rPr>
                <w:rFonts w:ascii="Arial" w:hAnsi="Arial" w:cs="Arial"/>
                <w:sz w:val="24"/>
                <w:szCs w:val="24"/>
              </w:rPr>
              <w:t>ałączniku nr 1</w:t>
            </w:r>
          </w:p>
        </w:tc>
      </w:tr>
    </w:tbl>
    <w:p w14:paraId="00D28F9A" w14:textId="24C20FA2" w:rsidR="00AA5E91" w:rsidRPr="00AA5E91" w:rsidRDefault="002D0E67" w:rsidP="00246689">
      <w:pPr>
        <w:pStyle w:val="Podtytu"/>
        <w:numPr>
          <w:ilvl w:val="0"/>
          <w:numId w:val="9"/>
        </w:numPr>
        <w:spacing w:line="320" w:lineRule="atLeast"/>
      </w:pPr>
      <w:r>
        <w:rPr>
          <w:rFonts w:cs="Arial"/>
        </w:rPr>
        <w:t>Do projektu będą zakwalifikowane osoby spełniające kryteria dostępu, które wypełnią i złożą kompletną Dokumentację rekrutacyjną (załącznik nr 1-4) oraz wypełnią test poziomujący.</w:t>
      </w:r>
    </w:p>
    <w:p w14:paraId="706868E1" w14:textId="7B97CD75" w:rsidR="000A2906" w:rsidRDefault="002D0E67" w:rsidP="002D0E67">
      <w:pPr>
        <w:pStyle w:val="Akapitzlist"/>
        <w:numPr>
          <w:ilvl w:val="0"/>
          <w:numId w:val="9"/>
        </w:numPr>
        <w:rPr>
          <w:rFonts w:ascii="Arial" w:eastAsiaTheme="minorEastAsia" w:hAnsi="Arial" w:cstheme="minorBidi"/>
          <w:color w:val="000000" w:themeColor="text1"/>
          <w:sz w:val="24"/>
        </w:rPr>
      </w:pPr>
      <w:r w:rsidRPr="002D0E67">
        <w:rPr>
          <w:rFonts w:ascii="Arial" w:eastAsiaTheme="minorEastAsia" w:hAnsi="Arial" w:cstheme="minorBidi"/>
          <w:color w:val="000000" w:themeColor="text1"/>
          <w:sz w:val="24"/>
        </w:rPr>
        <w:t>Rekrutacja prowadzona jest w sposób ciągły, do wyczerpania limitu miejsc. O zakwalifikowaniu do projektu decyduje kolejność zgłoszeń.</w:t>
      </w:r>
    </w:p>
    <w:p w14:paraId="48124858" w14:textId="2EEBA959" w:rsidR="00A35407" w:rsidRPr="009D167B" w:rsidRDefault="004313F0" w:rsidP="009D167B">
      <w:pPr>
        <w:pStyle w:val="Nagwek2"/>
      </w:pPr>
      <w:bookmarkStart w:id="4" w:name="_Hlk202956652"/>
      <w:r w:rsidRPr="009D167B"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4"/>
    </w:p>
    <w:p w14:paraId="2033E3A0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bookmarkStart w:id="5" w:name="_Toc167274627"/>
      <w:r>
        <w:t>Uczestnik/czka projektu jest uprawniony/a do bezpłatnego korzystania ze wsparcia oferowanego w ramach projektu na zasadach określonych w niniejszym Regulaminie.</w:t>
      </w:r>
    </w:p>
    <w:p w14:paraId="01B036E3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będzie miał/a dostęp do materiałów edukacyjnych online, w tym testów, zadań i innych materiałów wspierających naukę.</w:t>
      </w:r>
    </w:p>
    <w:p w14:paraId="60365A0F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do aktywnego uczestnictwa w zajęciach oraz wykonania zadań praktycznych.</w:t>
      </w:r>
    </w:p>
    <w:p w14:paraId="2029E91D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do regularnego udziału we wsparciu do którego został zakwalifikowany, w wymiarze ustalonym przez Beneficjenta,  pozwalającym na podniesienie kompetencji i uzyskanie  zaświadczenia o ukończeniu kursu.</w:t>
      </w:r>
    </w:p>
    <w:p w14:paraId="02E0CB17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do potwierdzania obecności na liście obecności podczas zajęć.</w:t>
      </w:r>
    </w:p>
    <w:p w14:paraId="04DBE4C3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lastRenderedPageBreak/>
        <w:t>Uczestnik/czka projektu zobowiązany/a jest do bieżącego przekazywania do trenerów oraz pracowników Biura projektu informacji o wszystkich zdarzeniach mogących zakłócić jego dalszy udział w projekcie.</w:t>
      </w:r>
    </w:p>
    <w:p w14:paraId="74112636" w14:textId="2CB23819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do poddawania się monitoringowi i ewaluacji w projekcie, w szczególności do rzetelnego wypełniania wszelkich dokumentów monitoringowych i ewaluacyjnych dostarczonych przez Beneficjenta (np. ankiet ewaluacyjnych) w trakcie uczestnictwa w projekcie oraz po jego zakończeniu. Informacje te są niezbędne do wywiązania się Beneficjenta z obowiązków sprawozdawczych z realizacji projektu.</w:t>
      </w:r>
    </w:p>
    <w:p w14:paraId="50F3E7DF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813426F" w14:textId="77777777" w:rsidR="002D0E67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Uczestnik/czka projektu zobowiązany/a jest do przekazania informacji dotyczącej swojej sytuacji w terminie do 4 tygodni od zakończeniu udziału w projekcie.</w:t>
      </w:r>
    </w:p>
    <w:p w14:paraId="1B5A5FCE" w14:textId="55E86FCB" w:rsidR="00D55928" w:rsidRPr="00374C3B" w:rsidRDefault="002D0E67" w:rsidP="002D0E67">
      <w:pPr>
        <w:pStyle w:val="Podtytu"/>
        <w:numPr>
          <w:ilvl w:val="0"/>
          <w:numId w:val="14"/>
        </w:numPr>
        <w:spacing w:line="320" w:lineRule="atLeast"/>
      </w:pPr>
      <w:r>
        <w:t>W przypadku nieuzasadnionej rezygnacji lub przerwania udziału w formach wsparcia lub rażącego naruszenia zasad uczestnictwa, określonych niniejszym Regulaminem, Beneficjent zastrzega sobie prawo do wykluczenia Uczestnika/czki projektu z dalszego udziału w projekcie.</w:t>
      </w:r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6" w:name="_Toc167274628"/>
      <w:bookmarkStart w:id="7" w:name="_Toc168576287"/>
      <w:bookmarkEnd w:id="5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6"/>
      <w:bookmarkEnd w:id="7"/>
      <w:r w:rsidR="00DC4C02" w:rsidRPr="009D167B">
        <w:t>formach wsparcia</w:t>
      </w:r>
    </w:p>
    <w:p w14:paraId="731ADE20" w14:textId="77777777" w:rsidR="002D0E67" w:rsidRDefault="002D0E67" w:rsidP="002D0E67">
      <w:pPr>
        <w:pStyle w:val="Podtytu"/>
        <w:numPr>
          <w:ilvl w:val="0"/>
          <w:numId w:val="16"/>
        </w:numPr>
        <w:spacing w:line="320" w:lineRule="atLeast"/>
      </w:pPr>
      <w:bookmarkStart w:id="8" w:name="_Hlk189142924"/>
      <w:r>
        <w:t>Rezygnacja z udziału w formie wsparcia dopuszczalna jest tylko w uzasadnionych przypadkach.</w:t>
      </w:r>
    </w:p>
    <w:p w14:paraId="68C869E2" w14:textId="77777777" w:rsidR="002D0E67" w:rsidRDefault="002D0E67" w:rsidP="002D0E67">
      <w:pPr>
        <w:pStyle w:val="Podtytu"/>
        <w:numPr>
          <w:ilvl w:val="0"/>
          <w:numId w:val="16"/>
        </w:numPr>
        <w:spacing w:line="320" w:lineRule="atLeast"/>
      </w:pPr>
      <w:r>
        <w:t>Rezygnacja z udziału w formie wsparcia może wynikać z przyczyn zdrowotnych lub działania siły wyższej. Przyczyny te nie mogą być znane ani możliwe do przewidzenia w momencie rozpoczęcia udziału w projekcie.</w:t>
      </w:r>
    </w:p>
    <w:p w14:paraId="6B92F178" w14:textId="77777777" w:rsidR="002D0E67" w:rsidRDefault="002D0E67" w:rsidP="002D0E67">
      <w:pPr>
        <w:pStyle w:val="Podtytu"/>
        <w:numPr>
          <w:ilvl w:val="0"/>
          <w:numId w:val="16"/>
        </w:numPr>
        <w:spacing w:line="320" w:lineRule="atLeast"/>
      </w:pPr>
      <w:r>
        <w:t>Rezygnacja z udziału w formie wsparcia następuje poprzez złożenie oświadczenia o rezygnacji, w terminie 7 dni, licząc od dnia zaistnienia przyczyny uniemożliwiającej dalszy udział w projekcie.</w:t>
      </w:r>
    </w:p>
    <w:p w14:paraId="7F4677C9" w14:textId="77777777" w:rsidR="002D0E67" w:rsidRDefault="002D0E67" w:rsidP="002D0E67">
      <w:pPr>
        <w:pStyle w:val="Podtytu"/>
        <w:numPr>
          <w:ilvl w:val="0"/>
          <w:numId w:val="16"/>
        </w:numPr>
        <w:spacing w:line="320" w:lineRule="atLeast"/>
      </w:pPr>
      <w:r>
        <w:t>Podpisane oświadczenie o rezygnacji z udziału należy złożyć:</w:t>
      </w:r>
    </w:p>
    <w:p w14:paraId="4D6E4923" w14:textId="6C3E23FE" w:rsidR="002D0E67" w:rsidRDefault="002D0E67" w:rsidP="002D0E67">
      <w:pPr>
        <w:pStyle w:val="Podtytu"/>
        <w:numPr>
          <w:ilvl w:val="0"/>
          <w:numId w:val="30"/>
        </w:numPr>
        <w:spacing w:line="320" w:lineRule="atLeast"/>
      </w:pPr>
      <w:r>
        <w:t xml:space="preserve">osobiście w Biurze projektu </w:t>
      </w:r>
    </w:p>
    <w:p w14:paraId="1AF8ABF1" w14:textId="77777777" w:rsidR="002D0E67" w:rsidRDefault="002D0E67" w:rsidP="002D0E67">
      <w:pPr>
        <w:pStyle w:val="Podtytu"/>
        <w:numPr>
          <w:ilvl w:val="0"/>
          <w:numId w:val="30"/>
        </w:numPr>
        <w:spacing w:line="320" w:lineRule="atLeast"/>
      </w:pPr>
      <w:r>
        <w:t>przesłać pocztą tradycyjną lub przesyłką kurierską  wyłącznie na adres Biura</w:t>
      </w:r>
    </w:p>
    <w:p w14:paraId="50E9096D" w14:textId="20112C54" w:rsidR="002D0E67" w:rsidRDefault="002D0E67" w:rsidP="002D0E67">
      <w:pPr>
        <w:pStyle w:val="Podtytu"/>
        <w:numPr>
          <w:ilvl w:val="0"/>
          <w:numId w:val="30"/>
        </w:numPr>
        <w:spacing w:line="320" w:lineRule="atLeast"/>
      </w:pPr>
      <w:r>
        <w:t>w formie skanu za pośrednictwem maila wskazanego w Formularzu danych osobowych (załącznik nr 4) na maila kompas@wsb.edu.pl</w:t>
      </w:r>
    </w:p>
    <w:p w14:paraId="3A12A436" w14:textId="7EBEDF75" w:rsidR="00A22307" w:rsidRPr="000B5589" w:rsidRDefault="002D0E67" w:rsidP="002D0E67">
      <w:pPr>
        <w:pStyle w:val="Podtytu"/>
        <w:numPr>
          <w:ilvl w:val="0"/>
          <w:numId w:val="16"/>
        </w:numPr>
        <w:spacing w:line="320" w:lineRule="atLeast"/>
      </w:pPr>
      <w:r>
        <w:t>Za datę złożenia oświadczenia przyjmuje się datę wpływu do Biura projektu</w:t>
      </w:r>
    </w:p>
    <w:bookmarkEnd w:id="8"/>
    <w:p w14:paraId="43342253" w14:textId="027EFA08" w:rsidR="00A22307" w:rsidRPr="009D167B" w:rsidRDefault="0028208D" w:rsidP="009D167B">
      <w:pPr>
        <w:pStyle w:val="Nagwek2"/>
      </w:pPr>
      <w:r w:rsidRPr="009D167B">
        <w:lastRenderedPageBreak/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9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04F30F1F" w14:textId="77777777" w:rsidR="002D0E67" w:rsidRDefault="00A35407" w:rsidP="004542BE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2D0E67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9"/>
    </w:p>
    <w:p w14:paraId="29387D80" w14:textId="22D813FF" w:rsidR="00220467" w:rsidRPr="002D0E67" w:rsidRDefault="00220467" w:rsidP="002D0E67">
      <w:pPr>
        <w:pStyle w:val="Podtytu"/>
        <w:numPr>
          <w:ilvl w:val="0"/>
          <w:numId w:val="0"/>
        </w:numPr>
        <w:spacing w:line="320" w:lineRule="atLeast"/>
        <w:rPr>
          <w:rFonts w:eastAsia="Calibri"/>
          <w:lang w:eastAsia="ar-SA"/>
        </w:rPr>
      </w:pPr>
      <w:r w:rsidRPr="002D0E67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Wykaz podregionów objętych wsparciem</w:t>
      </w:r>
      <w:bookmarkEnd w:id="2"/>
    </w:p>
    <w:sectPr w:rsidR="00B76CFB" w:rsidRPr="000B5589" w:rsidSect="00074C8D">
      <w:headerReference w:type="default" r:id="rId12"/>
      <w:footerReference w:type="default" r:id="rId13"/>
      <w:headerReference w:type="first" r:id="rId14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57993" w:rsidRDefault="00B57993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57993" w:rsidRDefault="00B57993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57993" w:rsidRDefault="00B57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57993" w:rsidRDefault="00B5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57993" w:rsidRDefault="00B57993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57993" w:rsidRDefault="00B57993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57993" w:rsidRPr="00601D66" w:rsidRDefault="00B57993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57993" w:rsidRPr="00601D66" w:rsidRDefault="00B57993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4567C"/>
    <w:multiLevelType w:val="hybridMultilevel"/>
    <w:tmpl w:val="F488BB50"/>
    <w:lvl w:ilvl="0" w:tplc="A2783F0E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E2A"/>
    <w:multiLevelType w:val="hybridMultilevel"/>
    <w:tmpl w:val="92F8C5D6"/>
    <w:lvl w:ilvl="0" w:tplc="C0EE2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71C1"/>
    <w:multiLevelType w:val="hybridMultilevel"/>
    <w:tmpl w:val="7AD0E37E"/>
    <w:lvl w:ilvl="0" w:tplc="71A42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70A67"/>
    <w:multiLevelType w:val="hybridMultilevel"/>
    <w:tmpl w:val="C9DC76DC"/>
    <w:lvl w:ilvl="0" w:tplc="44B06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4A7E"/>
    <w:multiLevelType w:val="hybridMultilevel"/>
    <w:tmpl w:val="F7BA4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94C91"/>
    <w:multiLevelType w:val="hybridMultilevel"/>
    <w:tmpl w:val="E3EA1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2EA5"/>
    <w:multiLevelType w:val="hybridMultilevel"/>
    <w:tmpl w:val="7A12A19A"/>
    <w:lvl w:ilvl="0" w:tplc="C70E0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D08AD"/>
    <w:multiLevelType w:val="hybridMultilevel"/>
    <w:tmpl w:val="AB30E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783E"/>
    <w:multiLevelType w:val="hybridMultilevel"/>
    <w:tmpl w:val="2996B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A22F5"/>
    <w:multiLevelType w:val="hybridMultilevel"/>
    <w:tmpl w:val="D0E0C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29F9"/>
    <w:multiLevelType w:val="hybridMultilevel"/>
    <w:tmpl w:val="5D1E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F35C3"/>
    <w:multiLevelType w:val="hybridMultilevel"/>
    <w:tmpl w:val="6BDAE88A"/>
    <w:lvl w:ilvl="0" w:tplc="BB3C9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B59F0"/>
    <w:multiLevelType w:val="hybridMultilevel"/>
    <w:tmpl w:val="D0CE1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5993"/>
    <w:multiLevelType w:val="hybridMultilevel"/>
    <w:tmpl w:val="7D26B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746C8"/>
    <w:multiLevelType w:val="hybridMultilevel"/>
    <w:tmpl w:val="6F8A881C"/>
    <w:lvl w:ilvl="0" w:tplc="E23A7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26"/>
  </w:num>
  <w:num w:numId="5">
    <w:abstractNumId w:val="29"/>
  </w:num>
  <w:num w:numId="6">
    <w:abstractNumId w:val="23"/>
  </w:num>
  <w:num w:numId="7">
    <w:abstractNumId w:val="31"/>
  </w:num>
  <w:num w:numId="8">
    <w:abstractNumId w:val="8"/>
  </w:num>
  <w:num w:numId="9">
    <w:abstractNumId w:val="20"/>
  </w:num>
  <w:num w:numId="10">
    <w:abstractNumId w:val="10"/>
  </w:num>
  <w:num w:numId="11">
    <w:abstractNumId w:val="11"/>
  </w:num>
  <w:num w:numId="12">
    <w:abstractNumId w:val="21"/>
  </w:num>
  <w:num w:numId="13">
    <w:abstractNumId w:val="15"/>
  </w:num>
  <w:num w:numId="14">
    <w:abstractNumId w:val="7"/>
  </w:num>
  <w:num w:numId="15">
    <w:abstractNumId w:val="14"/>
  </w:num>
  <w:num w:numId="16">
    <w:abstractNumId w:val="28"/>
  </w:num>
  <w:num w:numId="17">
    <w:abstractNumId w:val="0"/>
  </w:num>
  <w:num w:numId="18">
    <w:abstractNumId w:val="17"/>
  </w:num>
  <w:num w:numId="19">
    <w:abstractNumId w:val="18"/>
  </w:num>
  <w:num w:numId="20">
    <w:abstractNumId w:val="12"/>
  </w:num>
  <w:num w:numId="21">
    <w:abstractNumId w:val="25"/>
  </w:num>
  <w:num w:numId="22">
    <w:abstractNumId w:val="3"/>
  </w:num>
  <w:num w:numId="23">
    <w:abstractNumId w:val="9"/>
  </w:num>
  <w:num w:numId="24">
    <w:abstractNumId w:val="19"/>
  </w:num>
  <w:num w:numId="25">
    <w:abstractNumId w:val="13"/>
  </w:num>
  <w:num w:numId="26">
    <w:abstractNumId w:val="27"/>
  </w:num>
  <w:num w:numId="27">
    <w:abstractNumId w:val="4"/>
  </w:num>
  <w:num w:numId="28">
    <w:abstractNumId w:val="30"/>
  </w:num>
  <w:num w:numId="29">
    <w:abstractNumId w:val="5"/>
  </w:num>
  <w:num w:numId="30">
    <w:abstractNumId w:val="6"/>
  </w:num>
  <w:num w:numId="31">
    <w:abstractNumId w:val="22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CVfgEmUz1sG6Laj5F9Hw+860etBqd2KkM/wF8i3vVouFp3NLZW0NKoqrAk9nc8b2JlkG50msCqnpYJ03K9CHw==" w:salt="gnUXqXDfR58a8RDCzvR+L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D98"/>
    <w:rsid w:val="002405F6"/>
    <w:rsid w:val="0024310D"/>
    <w:rsid w:val="00244F84"/>
    <w:rsid w:val="0024524D"/>
    <w:rsid w:val="00245400"/>
    <w:rsid w:val="00246689"/>
    <w:rsid w:val="00250CD1"/>
    <w:rsid w:val="00256DEE"/>
    <w:rsid w:val="00257053"/>
    <w:rsid w:val="00262A0F"/>
    <w:rsid w:val="002674F5"/>
    <w:rsid w:val="00267B21"/>
    <w:rsid w:val="00272B6A"/>
    <w:rsid w:val="00275828"/>
    <w:rsid w:val="00277B9B"/>
    <w:rsid w:val="002812BC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77E"/>
    <w:rsid w:val="002B0708"/>
    <w:rsid w:val="002B59E2"/>
    <w:rsid w:val="002B67D4"/>
    <w:rsid w:val="002C19F5"/>
    <w:rsid w:val="002C2F31"/>
    <w:rsid w:val="002C3952"/>
    <w:rsid w:val="002D042A"/>
    <w:rsid w:val="002D0E67"/>
    <w:rsid w:val="002D1893"/>
    <w:rsid w:val="002D4C57"/>
    <w:rsid w:val="002D69E7"/>
    <w:rsid w:val="002D74B3"/>
    <w:rsid w:val="002D78F7"/>
    <w:rsid w:val="002E0533"/>
    <w:rsid w:val="002E0D67"/>
    <w:rsid w:val="002E16E2"/>
    <w:rsid w:val="002E3BCF"/>
    <w:rsid w:val="002E591C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7535"/>
    <w:rsid w:val="003B0514"/>
    <w:rsid w:val="003B262A"/>
    <w:rsid w:val="003B292A"/>
    <w:rsid w:val="003B473E"/>
    <w:rsid w:val="003B5BA0"/>
    <w:rsid w:val="003B5D1F"/>
    <w:rsid w:val="003B741C"/>
    <w:rsid w:val="003B7C03"/>
    <w:rsid w:val="003C271B"/>
    <w:rsid w:val="003C538C"/>
    <w:rsid w:val="003D31D6"/>
    <w:rsid w:val="003E03D4"/>
    <w:rsid w:val="003E3915"/>
    <w:rsid w:val="003E5BD7"/>
    <w:rsid w:val="003F02F8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395"/>
    <w:rsid w:val="005E6E65"/>
    <w:rsid w:val="005F1567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C7F99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5401F"/>
    <w:rsid w:val="008609BD"/>
    <w:rsid w:val="00862C88"/>
    <w:rsid w:val="008644E7"/>
    <w:rsid w:val="00865C4D"/>
    <w:rsid w:val="00872C39"/>
    <w:rsid w:val="0087310D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76D2"/>
    <w:rsid w:val="008E0EF4"/>
    <w:rsid w:val="008E3C8E"/>
    <w:rsid w:val="008E69F7"/>
    <w:rsid w:val="008E74B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304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5FA1"/>
    <w:rsid w:val="00E608D4"/>
    <w:rsid w:val="00E64DB1"/>
    <w:rsid w:val="00E66237"/>
    <w:rsid w:val="00E7154A"/>
    <w:rsid w:val="00E73900"/>
    <w:rsid w:val="00E76103"/>
    <w:rsid w:val="00E838C0"/>
    <w:rsid w:val="00E86B1D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6D70"/>
    <w:rsid w:val="00EC146E"/>
    <w:rsid w:val="00EC5807"/>
    <w:rsid w:val="00ED38C1"/>
    <w:rsid w:val="00ED54CB"/>
    <w:rsid w:val="00ED5FD5"/>
    <w:rsid w:val="00ED628E"/>
    <w:rsid w:val="00EE1047"/>
    <w:rsid w:val="00EE2BC8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6330"/>
    <w:rsid w:val="00F17569"/>
    <w:rsid w:val="00F22854"/>
    <w:rsid w:val="00F23B1F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D459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7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2D7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C38CF-8CD5-48ED-9B9B-E78881A67073}">
  <ds:schemaRefs>
    <ds:schemaRef ds:uri="http://schemas.microsoft.com/sharepoint/v3"/>
    <ds:schemaRef ds:uri="http://schemas.microsoft.com/office/infopath/2007/PartnerControls"/>
    <ds:schemaRef ds:uri="685069f3-21c6-4869-8f75-3a6577ba885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419dfdc0-98db-4ddc-8e72-e72b713b741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ECE62-BB02-414B-8EF7-7D6E8942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1747</Words>
  <Characters>11740</Characters>
  <Application>Microsoft Office Word</Application>
  <DocSecurity>8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90</cp:revision>
  <cp:lastPrinted>2025-08-22T13:26:00Z</cp:lastPrinted>
  <dcterms:created xsi:type="dcterms:W3CDTF">2025-03-21T15:00:00Z</dcterms:created>
  <dcterms:modified xsi:type="dcterms:W3CDTF">2025-08-22T13:26:00Z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