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69" w:rsidRDefault="00F265E0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9424" w:type="dxa"/>
        <w:tblInd w:w="-92" w:type="dxa"/>
        <w:tblCellMar>
          <w:top w:w="42" w:type="dxa"/>
          <w:left w:w="6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630"/>
        <w:gridCol w:w="282"/>
        <w:gridCol w:w="992"/>
        <w:gridCol w:w="285"/>
        <w:gridCol w:w="850"/>
        <w:gridCol w:w="566"/>
        <w:gridCol w:w="569"/>
        <w:gridCol w:w="1275"/>
        <w:gridCol w:w="991"/>
        <w:gridCol w:w="994"/>
        <w:gridCol w:w="990"/>
      </w:tblGrid>
      <w:tr w:rsidR="00803669" w:rsidRPr="00F265E0">
        <w:trPr>
          <w:trHeight w:val="299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03669" w:rsidRPr="00F265E0" w:rsidRDefault="00F265E0">
            <w:pPr>
              <w:spacing w:after="0"/>
              <w:ind w:left="3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lang w:val="en-GB"/>
              </w:rPr>
              <w:t xml:space="preserve">WSB </w:t>
            </w:r>
            <w:r>
              <w:rPr>
                <w:rFonts w:ascii="Arial" w:eastAsia="Arial" w:hAnsi="Arial" w:cs="Arial"/>
                <w:b/>
                <w:lang w:val="en-GB"/>
              </w:rPr>
              <w:t>University</w:t>
            </w:r>
            <w:bookmarkStart w:id="0" w:name="_GoBack"/>
            <w:bookmarkEnd w:id="0"/>
            <w:r w:rsidRPr="00F265E0">
              <w:rPr>
                <w:rFonts w:ascii="Arial" w:eastAsia="Arial" w:hAnsi="Arial" w:cs="Arial"/>
                <w:b/>
                <w:lang w:val="en-GB"/>
              </w:rPr>
              <w:t xml:space="preserve"> Branch/Department of Jaworzno</w:t>
            </w: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803669" w:rsidRPr="00F265E0">
        <w:trPr>
          <w:trHeight w:val="275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Field of study: Computer Science </w:t>
            </w:r>
          </w:p>
        </w:tc>
      </w:tr>
      <w:tr w:rsidR="00803669" w:rsidRPr="00F265E0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Subject: Industrial property protection and copyright law </w:t>
            </w:r>
          </w:p>
        </w:tc>
      </w:tr>
      <w:tr w:rsidR="00803669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Educational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profile: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03669" w:rsidRPr="00F265E0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Level of education: undergraduate studies </w:t>
            </w:r>
          </w:p>
        </w:tc>
      </w:tr>
      <w:tr w:rsidR="00803669">
        <w:trPr>
          <w:trHeight w:val="275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ind w:right="26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Number of </w:t>
            </w:r>
            <w:proofErr w:type="gramStart"/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>hours  per</w:t>
            </w:r>
            <w:proofErr w:type="gramEnd"/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 semester</w:t>
            </w:r>
            <w:r w:rsidRPr="00F265E0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</w:tr>
      <w:tr w:rsidR="00803669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8036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3669" w:rsidRDefault="00F265E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IV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VII </w:t>
            </w:r>
          </w:p>
        </w:tc>
      </w:tr>
      <w:tr w:rsidR="00803669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Full-time studies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8"/>
                <w:lang w:val="en-GB"/>
              </w:rPr>
              <w:t>(w/w/lab/</w:t>
            </w:r>
            <w:proofErr w:type="spellStart"/>
            <w:r w:rsidRPr="00F265E0">
              <w:rPr>
                <w:rFonts w:ascii="Arial" w:eastAsia="Arial" w:hAnsi="Arial" w:cs="Arial"/>
                <w:sz w:val="18"/>
                <w:lang w:val="en-GB"/>
              </w:rPr>
              <w:t>pr</w:t>
            </w:r>
            <w:proofErr w:type="spellEnd"/>
            <w:r w:rsidRPr="00F265E0">
              <w:rPr>
                <w:rFonts w:ascii="Arial" w:eastAsia="Arial" w:hAnsi="Arial" w:cs="Arial"/>
                <w:sz w:val="18"/>
                <w:lang w:val="en-GB"/>
              </w:rPr>
              <w:t>/</w:t>
            </w:r>
            <w:proofErr w:type="gramStart"/>
            <w:r w:rsidRPr="00F265E0">
              <w:rPr>
                <w:rFonts w:ascii="Arial" w:eastAsia="Arial" w:hAnsi="Arial" w:cs="Arial"/>
                <w:sz w:val="18"/>
                <w:lang w:val="en-GB"/>
              </w:rPr>
              <w:t>e)*</w:t>
            </w:r>
            <w:proofErr w:type="gramEnd"/>
            <w:r w:rsidRPr="00F265E0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51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52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47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03669" w:rsidRDefault="00F265E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8w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3669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Part-time studies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8"/>
                <w:lang w:val="en-GB"/>
              </w:rPr>
              <w:t>(w/</w:t>
            </w:r>
            <w:proofErr w:type="spellStart"/>
            <w:r w:rsidRPr="00F265E0">
              <w:rPr>
                <w:rFonts w:ascii="Arial" w:eastAsia="Arial" w:hAnsi="Arial" w:cs="Arial"/>
                <w:sz w:val="18"/>
                <w:lang w:val="en-GB"/>
              </w:rPr>
              <w:t>æw</w:t>
            </w:r>
            <w:proofErr w:type="spellEnd"/>
            <w:r w:rsidRPr="00F265E0">
              <w:rPr>
                <w:rFonts w:ascii="Arial" w:eastAsia="Arial" w:hAnsi="Arial" w:cs="Arial"/>
                <w:sz w:val="18"/>
                <w:lang w:val="en-GB"/>
              </w:rPr>
              <w:t>/lab/</w:t>
            </w:r>
            <w:proofErr w:type="spellStart"/>
            <w:r w:rsidRPr="00F265E0">
              <w:rPr>
                <w:rFonts w:ascii="Arial" w:eastAsia="Arial" w:hAnsi="Arial" w:cs="Arial"/>
                <w:sz w:val="18"/>
                <w:lang w:val="en-GB"/>
              </w:rPr>
              <w:t>pr</w:t>
            </w:r>
            <w:proofErr w:type="spellEnd"/>
            <w:r w:rsidRPr="00F265E0">
              <w:rPr>
                <w:rFonts w:ascii="Arial" w:eastAsia="Arial" w:hAnsi="Arial" w:cs="Arial"/>
                <w:sz w:val="18"/>
                <w:lang w:val="en-GB"/>
              </w:rPr>
              <w:t xml:space="preserve">/e)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51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52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Pr="00F265E0" w:rsidRDefault="00F265E0">
            <w:pPr>
              <w:spacing w:after="0"/>
              <w:ind w:left="47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03669" w:rsidRDefault="00F265E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8w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69" w:rsidRDefault="00F265E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3669">
        <w:trPr>
          <w:trHeight w:val="48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LANGUAGE OF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INSTRUCTION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Polish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3669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5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LECTURER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Łukasz Staszel, MA </w:t>
            </w:r>
          </w:p>
        </w:tc>
      </w:tr>
      <w:tr w:rsidR="00803669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FORM OF ACTIVITIES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Lecture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consultation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3669" w:rsidRPr="00F265E0">
        <w:trPr>
          <w:trHeight w:val="539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SUBJECT OBJECTIVES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ind w:left="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Assimilate issues related to the legal protection of intellectual property (copyright and related rights and industrial property law). </w:t>
            </w:r>
          </w:p>
        </w:tc>
      </w:tr>
      <w:tr w:rsidR="00803669" w:rsidRPr="00F265E0">
        <w:trPr>
          <w:trHeight w:val="296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Default="00F265E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Reference to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Default="00F265E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Pr="00F265E0" w:rsidRDefault="00F265E0">
            <w:pPr>
              <w:spacing w:after="0"/>
              <w:jc w:val="center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Means of verification of the effect learning </w:t>
            </w:r>
          </w:p>
        </w:tc>
      </w:tr>
      <w:tr w:rsidR="00803669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Default="00F265E0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Directional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Default="00F265E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PRK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803669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803669"/>
        </w:tc>
      </w:tr>
      <w:tr w:rsidR="00803669">
        <w:trPr>
          <w:trHeight w:val="296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669" w:rsidRDefault="00F265E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NEWS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3669" w:rsidRPr="00F265E0">
        <w:trPr>
          <w:trHeight w:val="116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INF_W12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P6S_WK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" w:line="240" w:lineRule="auto"/>
              <w:ind w:left="73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knows and understands the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basic  concepts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and principles in the field of  protection of intellectual property  </w:t>
            </w:r>
          </w:p>
          <w:p w:rsidR="00803669" w:rsidRPr="00F265E0" w:rsidRDefault="00F265E0">
            <w:pPr>
              <w:spacing w:after="0"/>
              <w:ind w:left="1" w:right="93" w:firstLine="7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and laws designed to  </w:t>
            </w:r>
            <w:r w:rsidRPr="00F265E0">
              <w:rPr>
                <w:rFonts w:ascii="Arial" w:eastAsia="Arial" w:hAnsi="Arial" w:cs="Arial"/>
                <w:sz w:val="2"/>
                <w:lang w:val="en-GB"/>
              </w:rPr>
              <w:t xml:space="preserve"> 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protection of competition and consumers 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 w:line="277" w:lineRule="auto"/>
              <w:ind w:left="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Checking understanding of basic concepts through an oral answer, credit work </w:t>
            </w:r>
          </w:p>
          <w:p w:rsidR="00803669" w:rsidRPr="00F265E0" w:rsidRDefault="00F265E0">
            <w:pPr>
              <w:spacing w:after="0"/>
              <w:ind w:left="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803669" w:rsidRPr="00F265E0">
        <w:trPr>
          <w:trHeight w:val="8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INF_W12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P6S_WK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ind w:left="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Has an understanding of the impact of intellectual property law on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business.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ind w:left="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Checking understanding of basic concepts through an oral answer, credit work </w:t>
            </w:r>
          </w:p>
        </w:tc>
      </w:tr>
      <w:tr w:rsidR="00803669" w:rsidRPr="00F265E0">
        <w:trPr>
          <w:trHeight w:val="53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7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Student workload (in teaching hours 1h =45 </w:t>
            </w:r>
            <w:proofErr w:type="gramStart"/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>minutes)*</w:t>
            </w:r>
            <w:proofErr w:type="gramEnd"/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* 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803669" w:rsidRPr="00F265E0">
        <w:trPr>
          <w:trHeight w:val="3442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7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lastRenderedPageBreak/>
              <w:t xml:space="preserve">Stationary </w:t>
            </w:r>
          </w:p>
          <w:p w:rsidR="00803669" w:rsidRPr="00F265E0" w:rsidRDefault="00F265E0">
            <w:pPr>
              <w:spacing w:after="0" w:line="277" w:lineRule="auto"/>
              <w:ind w:right="180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8 participation in exercises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=  preparation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for exercise =  lecture preparation =  exam preparation/assessment =  1.5 implementation of project tasks = e-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learning  credit/examination = 1 other (consultation) = 2 </w:t>
            </w:r>
          </w:p>
          <w:p w:rsidR="00803669" w:rsidRPr="00F265E0" w:rsidRDefault="00F265E0">
            <w:pPr>
              <w:spacing w:after="0"/>
              <w:ind w:right="2186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TOTAL: 12.5h ECTS credits: 0.5 including in practical classes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7"/>
              <w:ind w:left="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Part-time </w:t>
            </w:r>
          </w:p>
          <w:p w:rsidR="00803669" w:rsidRPr="00F265E0" w:rsidRDefault="00F265E0">
            <w:pPr>
              <w:spacing w:after="0" w:line="277" w:lineRule="auto"/>
              <w:ind w:left="1" w:right="206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8 participation in exercises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=  preparation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for exercise = lecture preparation =  exam preparation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/assessment = 1.5 implementation of project tasks  e-learning  credit/examination = 1 other (consultation) = 2 </w:t>
            </w:r>
          </w:p>
          <w:p w:rsidR="00803669" w:rsidRPr="00F265E0" w:rsidRDefault="00F265E0">
            <w:pPr>
              <w:spacing w:after="0"/>
              <w:ind w:left="1" w:right="240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TOTAL: 12.5h ECTS credits: 0.5 including in practical classes </w:t>
            </w:r>
          </w:p>
        </w:tc>
      </w:tr>
      <w:tr w:rsidR="00803669">
        <w:trPr>
          <w:trHeight w:val="4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PREREQUISITES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444"/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General knowledge of the law. </w:t>
            </w:r>
            <w:r>
              <w:rPr>
                <w:rFonts w:ascii="Arial" w:eastAsia="Arial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03669" w:rsidRPr="00F265E0">
        <w:trPr>
          <w:trHeight w:val="11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jc w:val="both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SUBJECT CONTENT </w:t>
            </w:r>
          </w:p>
          <w:p w:rsidR="00803669" w:rsidRPr="00F265E0" w:rsidRDefault="00F265E0">
            <w:pPr>
              <w:spacing w:after="17" w:line="274" w:lineRule="auto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5E0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265E0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 classes)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47"/>
              <w:ind w:left="15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Content delivered in a face-to-face format:  </w:t>
            </w:r>
          </w:p>
          <w:p w:rsidR="00803669" w:rsidRPr="00F265E0" w:rsidRDefault="00F265E0">
            <w:pPr>
              <w:tabs>
                <w:tab w:val="center" w:pos="431"/>
                <w:tab w:val="center" w:pos="2467"/>
              </w:tabs>
              <w:spacing w:after="0"/>
              <w:rPr>
                <w:lang w:val="en-GB"/>
              </w:rPr>
            </w:pPr>
            <w:r w:rsidRPr="00F265E0">
              <w:rPr>
                <w:lang w:val="en-GB"/>
              </w:rPr>
              <w:tab/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1. 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ab/>
              <w:t xml:space="preserve">Importance of intellectual and industrial property </w:t>
            </w:r>
          </w:p>
          <w:p w:rsidR="00803669" w:rsidRPr="00F265E0" w:rsidRDefault="00F265E0">
            <w:pPr>
              <w:numPr>
                <w:ilvl w:val="0"/>
                <w:numId w:val="1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notions of intellectual and industrial property </w:t>
            </w:r>
          </w:p>
          <w:p w:rsidR="00803669" w:rsidRPr="00F265E0" w:rsidRDefault="00F265E0">
            <w:pPr>
              <w:numPr>
                <w:ilvl w:val="0"/>
                <w:numId w:val="1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the concepts of intellectual and industrial property rights </w:t>
            </w:r>
          </w:p>
          <w:p w:rsidR="00803669" w:rsidRPr="00F265E0" w:rsidRDefault="00F265E0">
            <w:pPr>
              <w:numPr>
                <w:ilvl w:val="0"/>
                <w:numId w:val="1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the ubiquity of intellectual property </w:t>
            </w:r>
          </w:p>
        </w:tc>
      </w:tr>
    </w:tbl>
    <w:p w:rsidR="00803669" w:rsidRPr="00F265E0" w:rsidRDefault="00803669">
      <w:pPr>
        <w:spacing w:after="0"/>
        <w:ind w:left="-1440" w:right="10466"/>
        <w:rPr>
          <w:lang w:val="en-GB"/>
        </w:rPr>
      </w:pPr>
    </w:p>
    <w:tbl>
      <w:tblPr>
        <w:tblStyle w:val="TableGrid"/>
        <w:tblW w:w="9426" w:type="dxa"/>
        <w:tblInd w:w="-93" w:type="dxa"/>
        <w:tblCellMar>
          <w:top w:w="42" w:type="dxa"/>
          <w:left w:w="7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686"/>
        <w:gridCol w:w="7740"/>
      </w:tblGrid>
      <w:tr w:rsidR="00803669" w:rsidRPr="00F265E0">
        <w:trPr>
          <w:trHeight w:val="903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lastRenderedPageBreak/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numPr>
                <w:ilvl w:val="0"/>
                <w:numId w:val="2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the importance of intellectual property for entrepreneurs </w:t>
            </w:r>
          </w:p>
          <w:p w:rsidR="00803669" w:rsidRDefault="00F265E0">
            <w:pPr>
              <w:numPr>
                <w:ilvl w:val="0"/>
                <w:numId w:val="2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intellectual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property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management </w:t>
            </w:r>
          </w:p>
          <w:p w:rsidR="00803669" w:rsidRPr="00F265E0" w:rsidRDefault="00F265E0">
            <w:pPr>
              <w:numPr>
                <w:ilvl w:val="0"/>
                <w:numId w:val="2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building competitive advantage through intellectual property </w:t>
            </w:r>
          </w:p>
          <w:p w:rsidR="00803669" w:rsidRPr="00F265E0" w:rsidRDefault="00F265E0">
            <w:pPr>
              <w:numPr>
                <w:ilvl w:val="0"/>
                <w:numId w:val="2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the value of intellectual property objects (value of trademarks) </w:t>
            </w:r>
          </w:p>
          <w:p w:rsidR="00803669" w:rsidRPr="00F265E0" w:rsidRDefault="00F265E0">
            <w:pPr>
              <w:numPr>
                <w:ilvl w:val="0"/>
                <w:numId w:val="2"/>
              </w:numPr>
              <w:spacing w:after="0"/>
              <w:ind w:hanging="10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impact of patent protection on the benefits of the invention </w:t>
            </w:r>
          </w:p>
          <w:p w:rsidR="00803669" w:rsidRDefault="00F265E0">
            <w:pPr>
              <w:numPr>
                <w:ilvl w:val="0"/>
                <w:numId w:val="2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examples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protected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innovative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solutions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Pr="00F265E0" w:rsidRDefault="00F265E0">
            <w:pPr>
              <w:spacing w:after="0"/>
              <w:ind w:left="36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>2. Intellectual and i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ndustrial property law - application to corporate knowledge management. </w:t>
            </w:r>
          </w:p>
          <w:p w:rsidR="00803669" w:rsidRPr="00F265E0" w:rsidRDefault="00F265E0">
            <w:pPr>
              <w:spacing w:after="0"/>
              <w:ind w:left="36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2a) Basic concepts related to knowledge management: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intellectual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property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industrial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property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innovation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0"/>
              </w:rPr>
              <w:t xml:space="preserve">2b) Knowledge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sharing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free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knowledge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proprietary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knowledge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3"/>
              </w:numPr>
              <w:spacing w:after="0"/>
              <w:ind w:hanging="10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proprietary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knowledge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Pr="00F265E0" w:rsidRDefault="00F265E0">
            <w:pPr>
              <w:spacing w:after="0"/>
              <w:ind w:left="36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3 Industrial property objects and their protection: </w:t>
            </w:r>
          </w:p>
          <w:p w:rsidR="00803669" w:rsidRDefault="00F265E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0"/>
              </w:rPr>
              <w:t xml:space="preserve">3a) Solutions: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inventions and patents for inventions, 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1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utility models and utility model protection rights, 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industrial designs and registered design rights,  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ab/>
              <w:t xml:space="preserve">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2" w:line="239" w:lineRule="auto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topographies of integrated circuits (TUS) and TUS registration rights, - rationalisation projects, 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1" w:line="240" w:lineRule="auto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new plant varieties and exclusive rights for a new plant variety, - company secrets (know-how) and combating unfair competition, 3b) Designations: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>trade n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ames (business designations) and trade name rights, 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0" w:line="241" w:lineRule="auto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trade marks (signs of goods and services) and trade mark protection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rights,  -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geographical indications and rights in registration of geographical indications, 4 Copyright and copyright works. </w:t>
            </w:r>
          </w:p>
          <w:p w:rsidR="00803669" w:rsidRPr="00F265E0" w:rsidRDefault="00F265E0">
            <w:pPr>
              <w:numPr>
                <w:ilvl w:val="0"/>
                <w:numId w:val="4"/>
              </w:num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>the subj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ect-matter of the copyright (work)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rightholders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moral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rights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author's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economic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rights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permitted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protected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works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liability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for copyright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infringements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Default="00F265E0">
            <w:pPr>
              <w:numPr>
                <w:ilvl w:val="0"/>
                <w:numId w:val="4"/>
              </w:numPr>
              <w:spacing w:after="2" w:line="241" w:lineRule="auto"/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computer program as a specific type of work and its legal protection 5. </w:t>
            </w:r>
            <w:r>
              <w:rPr>
                <w:rFonts w:ascii="Arial" w:eastAsia="Arial" w:hAnsi="Arial" w:cs="Arial"/>
                <w:sz w:val="20"/>
              </w:rPr>
              <w:t xml:space="preserve">Patent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literature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</w:t>
            </w:r>
            <w:r>
              <w:rPr>
                <w:rFonts w:ascii="Arial" w:eastAsia="Arial" w:hAnsi="Arial" w:cs="Arial"/>
                <w:sz w:val="20"/>
              </w:rPr>
              <w:t>tabases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relevance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business. </w:t>
            </w:r>
          </w:p>
          <w:p w:rsidR="00803669" w:rsidRDefault="00F265E0">
            <w:pPr>
              <w:spacing w:after="17"/>
              <w:ind w:left="15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3669" w:rsidRPr="00F265E0" w:rsidRDefault="00F265E0">
            <w:pPr>
              <w:spacing w:after="0"/>
              <w:ind w:left="15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Content delivered via e-learning: not applicable </w:t>
            </w:r>
          </w:p>
        </w:tc>
      </w:tr>
      <w:tr w:rsidR="00803669" w:rsidRPr="00F265E0">
        <w:trPr>
          <w:trHeight w:val="172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LITERATURE  </w:t>
            </w:r>
          </w:p>
          <w:p w:rsidR="00803669" w:rsidRDefault="00F265E0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COMPULSORY </w:t>
            </w:r>
          </w:p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numPr>
                <w:ilvl w:val="0"/>
                <w:numId w:val="5"/>
              </w:numPr>
              <w:spacing w:after="49" w:line="242" w:lineRule="auto"/>
              <w:ind w:hanging="348"/>
              <w:rPr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 xml:space="preserve">E. Nowińska, U.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Promińska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K. Szczepanowska - </w:t>
            </w:r>
            <w:r>
              <w:rPr>
                <w:rFonts w:ascii="Arial" w:eastAsia="Arial" w:hAnsi="Arial" w:cs="Arial"/>
                <w:sz w:val="20"/>
              </w:rPr>
              <w:t xml:space="preserve">Kozłowska,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Industrial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Property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Rights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Przedmiot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treść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i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naruszenie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(Industrial property rights. Subject matter, content and infringement), Wolters Kluwer, Warsaw 2021 </w:t>
            </w:r>
          </w:p>
          <w:p w:rsidR="00803669" w:rsidRPr="00F265E0" w:rsidRDefault="00F265E0">
            <w:pPr>
              <w:numPr>
                <w:ilvl w:val="0"/>
                <w:numId w:val="5"/>
              </w:numPr>
              <w:spacing w:after="45" w:line="246" w:lineRule="auto"/>
              <w:ind w:hanging="34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 xml:space="preserve">Act of 30 June 2000 Industrial Property Law </w:t>
            </w:r>
            <w:hyperlink r:id="rId5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(</w:t>
              </w:r>
            </w:hyperlink>
            <w:hyperlink r:id="rId6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Dz. U. of 2001, No. 49, item 508)</w:t>
              </w:r>
            </w:hyperlink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(consolidated text </w:t>
            </w:r>
            <w:hyperlink r:id="rId7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- </w:t>
              </w:r>
            </w:hyperlink>
            <w:hyperlink r:id="rId8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Dz. U. of 2013, item </w:t>
              </w:r>
            </w:hyperlink>
            <w:hyperlink r:id="rId9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1</w:t>
              </w:r>
            </w:hyperlink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410) </w:t>
            </w:r>
          </w:p>
          <w:p w:rsidR="00803669" w:rsidRPr="00F265E0" w:rsidRDefault="00F265E0">
            <w:pPr>
              <w:numPr>
                <w:ilvl w:val="0"/>
                <w:numId w:val="5"/>
              </w:numPr>
              <w:spacing w:after="0"/>
              <w:ind w:hanging="348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Act of </w:t>
            </w:r>
            <w:hyperlink r:id="rId10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4 February</w:t>
              </w:r>
            </w:hyperlink>
            <w:hyperlink r:id="rId11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 </w:t>
              </w:r>
            </w:hyperlink>
            <w:hyperlink r:id="rId12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1994 </w:t>
              </w:r>
            </w:hyperlink>
            <w:hyperlink r:id="rId13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o</w:t>
              </w:r>
            </w:hyperlink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n </w:t>
            </w: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 xml:space="preserve">Copyright and Related Rights </w:t>
            </w:r>
            <w:hyperlink r:id="rId14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(</w:t>
              </w:r>
            </w:hyperlink>
            <w:hyperlink r:id="rId15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Journal of Laws of 2006, No. 90, item </w:t>
              </w:r>
            </w:hyperlink>
            <w:hyperlink r:id="rId16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 xml:space="preserve">631, </w:t>
              </w:r>
            </w:hyperlink>
            <w:hyperlink r:id="rId17">
              <w:r w:rsidRPr="00F265E0">
                <w:rPr>
                  <w:rFonts w:ascii="Arial" w:eastAsia="Arial" w:hAnsi="Arial" w:cs="Arial"/>
                  <w:sz w:val="20"/>
                  <w:lang w:val="en-GB"/>
                </w:rPr>
                <w:t>a</w:t>
              </w:r>
            </w:hyperlink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s amended). </w:t>
            </w:r>
          </w:p>
        </w:tc>
      </w:tr>
      <w:tr w:rsidR="00803669" w:rsidRPr="00F265E0">
        <w:trPr>
          <w:trHeight w:val="197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LITERATURE 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SUPPLEMENTARY </w:t>
            </w:r>
          </w:p>
          <w:p w:rsidR="00803669" w:rsidRPr="00F265E0" w:rsidRDefault="00F265E0">
            <w:pPr>
              <w:spacing w:after="0"/>
              <w:ind w:right="35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(including min. 2 items in English; book publications or articles)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numPr>
                <w:ilvl w:val="0"/>
                <w:numId w:val="6"/>
              </w:numPr>
              <w:spacing w:after="50" w:line="241" w:lineRule="auto"/>
              <w:ind w:right="5" w:hanging="348"/>
            </w:pP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Barta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J.,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Czajkowska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-Dąbrowska M.,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Ćwiąkalski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Z., Markiewicz R.,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Traple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proofErr w:type="gramStart"/>
            <w:r w:rsidRPr="00F265E0">
              <w:rPr>
                <w:rFonts w:ascii="Arial" w:eastAsia="Arial" w:hAnsi="Arial" w:cs="Arial"/>
                <w:sz w:val="20"/>
                <w:lang w:val="en-GB"/>
              </w:rPr>
              <w:t>E.,:</w:t>
            </w:r>
            <w:proofErr w:type="gram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 xml:space="preserve">Copyright and Related Rights.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Commentary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</w:rPr>
              <w:t xml:space="preserve">Zakamycze, 2005 </w:t>
            </w:r>
          </w:p>
          <w:p w:rsidR="00803669" w:rsidRDefault="00F265E0">
            <w:pPr>
              <w:numPr>
                <w:ilvl w:val="0"/>
                <w:numId w:val="6"/>
              </w:numPr>
              <w:spacing w:after="0"/>
              <w:ind w:right="5" w:hanging="348"/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Kotarba W., </w:t>
            </w: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 xml:space="preserve">Management of protected knowledge in the enterprise.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Warsaw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"ORGMASZ" 2001  </w:t>
            </w:r>
          </w:p>
          <w:p w:rsidR="00803669" w:rsidRDefault="00F265E0">
            <w:pPr>
              <w:numPr>
                <w:ilvl w:val="0"/>
                <w:numId w:val="6"/>
              </w:numPr>
              <w:spacing w:after="45" w:line="246" w:lineRule="auto"/>
              <w:ind w:right="5" w:hanging="348"/>
            </w:pP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Szewc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A. (ed.): </w:t>
            </w: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 xml:space="preserve">Lexicon of industrial and intellectual property. </w:t>
            </w:r>
            <w:hyperlink r:id="rId18">
              <w:r>
                <w:rPr>
                  <w:rFonts w:ascii="Arial" w:eastAsia="Arial" w:hAnsi="Arial" w:cs="Arial"/>
                  <w:sz w:val="20"/>
                </w:rPr>
                <w:t xml:space="preserve">Wolters Kluwer Polska </w:t>
              </w:r>
            </w:hyperlink>
            <w:hyperlink r:id="rId19">
              <w:r>
                <w:rPr>
                  <w:rFonts w:ascii="Arial" w:eastAsia="Arial" w:hAnsi="Arial" w:cs="Arial"/>
                  <w:sz w:val="20"/>
                </w:rPr>
                <w:t xml:space="preserve">- </w:t>
              </w:r>
            </w:hyperlink>
            <w:hyperlink r:id="rId20">
              <w:r>
                <w:rPr>
                  <w:rFonts w:ascii="Arial" w:eastAsia="Arial" w:hAnsi="Arial" w:cs="Arial"/>
                  <w:sz w:val="20"/>
                </w:rPr>
                <w:t xml:space="preserve">OFICYNA </w:t>
              </w:r>
            </w:hyperlink>
            <w:hyperlink r:id="rId21">
              <w:r>
                <w:rPr>
                  <w:rFonts w:ascii="Arial" w:eastAsia="Arial" w:hAnsi="Arial" w:cs="Arial"/>
                  <w:sz w:val="20"/>
                </w:rPr>
                <w:t>,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Kraków ,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2003 </w:t>
            </w:r>
          </w:p>
          <w:p w:rsidR="00803669" w:rsidRPr="00F265E0" w:rsidRDefault="00F265E0">
            <w:pPr>
              <w:numPr>
                <w:ilvl w:val="0"/>
                <w:numId w:val="6"/>
              </w:numPr>
              <w:spacing w:after="0" w:line="283" w:lineRule="auto"/>
              <w:ind w:right="5" w:hanging="348"/>
              <w:rPr>
                <w:lang w:val="en-GB"/>
              </w:rPr>
            </w:pP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Szewc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A.,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Zioło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K., </w:t>
            </w:r>
            <w:proofErr w:type="spellStart"/>
            <w:r w:rsidRPr="00F265E0">
              <w:rPr>
                <w:rFonts w:ascii="Arial" w:eastAsia="Arial" w:hAnsi="Arial" w:cs="Arial"/>
                <w:sz w:val="20"/>
                <w:lang w:val="en-GB"/>
              </w:rPr>
              <w:t>Grzesiczak</w:t>
            </w:r>
            <w:proofErr w:type="spellEnd"/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M.: </w:t>
            </w:r>
            <w:r w:rsidRPr="00F265E0">
              <w:rPr>
                <w:rFonts w:ascii="Arial" w:eastAsia="Arial" w:hAnsi="Arial" w:cs="Arial"/>
                <w:i/>
                <w:sz w:val="20"/>
                <w:lang w:val="en-GB"/>
              </w:rPr>
              <w:t>Contracts as a legal tool for innovation transfer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, Warsaw: Polish Agency for Enterprise Development, 2006 </w:t>
            </w:r>
          </w:p>
          <w:p w:rsidR="00803669" w:rsidRPr="00F265E0" w:rsidRDefault="00F265E0">
            <w:pPr>
              <w:spacing w:after="0"/>
              <w:ind w:left="72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803669" w:rsidRPr="00F265E0">
        <w:trPr>
          <w:trHeight w:val="111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lastRenderedPageBreak/>
              <w:t xml:space="preserve">TEACHING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METHODS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5E0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265E0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 classes)</w:t>
            </w:r>
            <w:r w:rsidRPr="00F265E0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5"/>
              <w:ind w:left="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In direct form: </w:t>
            </w:r>
          </w:p>
          <w:p w:rsidR="00803669" w:rsidRPr="00F265E0" w:rsidRDefault="00F265E0">
            <w:pPr>
              <w:spacing w:after="0"/>
              <w:ind w:left="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Academic lecture with multimedia presentation; discussion with students; practical exercises involving 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solving specific legal problems in the field of intellectual property protection. </w:t>
            </w:r>
          </w:p>
        </w:tc>
      </w:tr>
      <w:tr w:rsidR="00803669" w:rsidRPr="00F265E0">
        <w:trPr>
          <w:trHeight w:val="3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LEARNING AIDS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ind w:left="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Lecture handouts, excerpts from legislation analysed in the course. </w:t>
            </w:r>
          </w:p>
        </w:tc>
      </w:tr>
      <w:tr w:rsidR="00803669">
        <w:trPr>
          <w:trHeight w:val="88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PROJECT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(insofar as it is carried out as part of a course module)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Default="00F265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803669" w:rsidRPr="00F265E0">
        <w:trPr>
          <w:trHeight w:val="13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1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FORM AND </w:t>
            </w:r>
          </w:p>
          <w:p w:rsidR="00803669" w:rsidRPr="00F265E0" w:rsidRDefault="00F265E0">
            <w:pPr>
              <w:spacing w:after="14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CONDITIONS OF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b/>
                <w:sz w:val="18"/>
                <w:lang w:val="en-GB"/>
              </w:rPr>
              <w:t xml:space="preserve">PASSING </w:t>
            </w:r>
          </w:p>
          <w:p w:rsidR="00803669" w:rsidRPr="00F265E0" w:rsidRDefault="00F265E0">
            <w:pPr>
              <w:spacing w:after="0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5E0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265E0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265E0">
              <w:rPr>
                <w:rFonts w:ascii="Arial" w:eastAsia="Arial" w:hAnsi="Arial" w:cs="Arial"/>
                <w:sz w:val="16"/>
                <w:lang w:val="en-GB"/>
              </w:rPr>
              <w:t xml:space="preserve"> classes)</w:t>
            </w:r>
            <w:r w:rsidRPr="00F265E0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69" w:rsidRPr="00F265E0" w:rsidRDefault="00F265E0">
            <w:pPr>
              <w:spacing w:after="2" w:line="241" w:lineRule="auto"/>
              <w:ind w:left="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>Credit. Preparation by students of credit papers on the importance and use of intellectual property protection in their future (hypothetical) activities, especially b</w:t>
            </w: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usiness. </w:t>
            </w:r>
          </w:p>
          <w:p w:rsidR="00803669" w:rsidRPr="00F265E0" w:rsidRDefault="00F265E0">
            <w:pPr>
              <w:spacing w:after="0"/>
              <w:ind w:left="722"/>
              <w:rPr>
                <w:lang w:val="en-GB"/>
              </w:rPr>
            </w:pPr>
            <w:r w:rsidRPr="00F265E0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</w:tbl>
    <w:p w:rsidR="00803669" w:rsidRPr="00F265E0" w:rsidRDefault="00F265E0">
      <w:pPr>
        <w:spacing w:after="0"/>
        <w:ind w:left="-24"/>
        <w:jc w:val="both"/>
        <w:rPr>
          <w:lang w:val="en-GB"/>
        </w:rPr>
      </w:pPr>
      <w:r w:rsidRPr="00F265E0">
        <w:rPr>
          <w:rFonts w:ascii="Arial" w:eastAsia="Arial" w:hAnsi="Arial" w:cs="Arial"/>
          <w:lang w:val="en-GB"/>
        </w:rPr>
        <w:t xml:space="preserve"> </w:t>
      </w:r>
    </w:p>
    <w:sectPr w:rsidR="00803669" w:rsidRPr="00F265E0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063"/>
    <w:multiLevelType w:val="hybridMultilevel"/>
    <w:tmpl w:val="C3FAE5CE"/>
    <w:lvl w:ilvl="0" w:tplc="A08A6A36">
      <w:start w:val="1"/>
      <w:numFmt w:val="bullet"/>
      <w:lvlText w:val="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4F87E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67860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A2520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4233C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9A6FC6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31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C2360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CF5EE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A0D12"/>
    <w:multiLevelType w:val="hybridMultilevel"/>
    <w:tmpl w:val="424498AC"/>
    <w:lvl w:ilvl="0" w:tplc="AEC89FF0">
      <w:start w:val="1"/>
      <w:numFmt w:val="bullet"/>
      <w:lvlText w:val="-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BC9BC2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CD0F0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432E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82D96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0D296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F376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6912A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ED186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818C5"/>
    <w:multiLevelType w:val="hybridMultilevel"/>
    <w:tmpl w:val="0928BC6C"/>
    <w:lvl w:ilvl="0" w:tplc="EB90945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B3FE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63CD0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22868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C2406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454B8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CEA2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0EEE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8AB82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65F3B"/>
    <w:multiLevelType w:val="hybridMultilevel"/>
    <w:tmpl w:val="31ECB186"/>
    <w:lvl w:ilvl="0" w:tplc="DF5ECF9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00EE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A38C6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A9348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8749C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1C8C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CA180C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EF4B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C3A4E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303B05"/>
    <w:multiLevelType w:val="hybridMultilevel"/>
    <w:tmpl w:val="C4C8C354"/>
    <w:lvl w:ilvl="0" w:tplc="04CE9452">
      <w:start w:val="1"/>
      <w:numFmt w:val="bullet"/>
      <w:lvlText w:val="-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40492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64BF4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0571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EECB80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4D8FE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85ECE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2B3D8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E2530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179DC"/>
    <w:multiLevelType w:val="hybridMultilevel"/>
    <w:tmpl w:val="8F2050B8"/>
    <w:lvl w:ilvl="0" w:tplc="0DFA7EDA">
      <w:start w:val="1"/>
      <w:numFmt w:val="bullet"/>
      <w:lvlText w:val="-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46FE8A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006070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D0198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AC1A6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AF7BA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4126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CDA24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AD59E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69"/>
    <w:rsid w:val="00803669"/>
    <w:rsid w:val="00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30A"/>
  <w15:docId w15:val="{C1089191-B859-4EA7-9FB3-D005E4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31191117" TargetMode="External"/><Relationship Id="rId13" Type="http://schemas.openxmlformats.org/officeDocument/2006/relationships/hyperlink" Target="http://pl.wikipedia.org/wiki/1994" TargetMode="External"/><Relationship Id="rId18" Type="http://schemas.openxmlformats.org/officeDocument/2006/relationships/hyperlink" Target="http://www.profinfo.pl/exec.php?C=Sz2&amp;ESID1=40110019&amp;SZPT_ESID1=N&amp;PZTA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info.pl/exec.php?C=Sz2&amp;ESID1=40110019&amp;SZPT_ESID1=N&amp;PZTA=0" TargetMode="External"/><Relationship Id="rId7" Type="http://schemas.openxmlformats.org/officeDocument/2006/relationships/hyperlink" Target="http://isap.sejm.gov.pl/DetailsServlet?id=WDU20031191117" TargetMode="External"/><Relationship Id="rId12" Type="http://schemas.openxmlformats.org/officeDocument/2006/relationships/hyperlink" Target="http://pl.wikipedia.org/wiki/1994" TargetMode="External"/><Relationship Id="rId17" Type="http://schemas.openxmlformats.org/officeDocument/2006/relationships/hyperlink" Target="http://isap.sejm.gov.pl/DetailsServlet?id=WDU20060900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isap.sejm.gov.pl/DetailsServlet?id=WDU20060900631" TargetMode="External"/><Relationship Id="rId20" Type="http://schemas.openxmlformats.org/officeDocument/2006/relationships/hyperlink" Target="http://www.profinfo.pl/exec.php?C=Sz2&amp;ESID1=40110019&amp;SZPT_ESID1=N&amp;PZTA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10490508" TargetMode="External"/><Relationship Id="rId11" Type="http://schemas.openxmlformats.org/officeDocument/2006/relationships/hyperlink" Target="http://pl.wikipedia.org/wiki/1994" TargetMode="External"/><Relationship Id="rId5" Type="http://schemas.openxmlformats.org/officeDocument/2006/relationships/hyperlink" Target="http://isap.sejm.gov.pl/DetailsServlet?id=WDU20010490508" TargetMode="External"/><Relationship Id="rId15" Type="http://schemas.openxmlformats.org/officeDocument/2006/relationships/hyperlink" Target="http://isap.sejm.gov.pl/DetailsServlet?id=WDU200609006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.wikipedia.org/wiki/4_lutego" TargetMode="External"/><Relationship Id="rId19" Type="http://schemas.openxmlformats.org/officeDocument/2006/relationships/hyperlink" Target="http://www.profinfo.pl/exec.php?C=Sz2&amp;ESID1=40110019&amp;SZPT_ESID1=N&amp;PZTA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DetailsServlet?id=WDU20031191117" TargetMode="External"/><Relationship Id="rId14" Type="http://schemas.openxmlformats.org/officeDocument/2006/relationships/hyperlink" Target="http://isap.sejm.gov.pl/DetailsServlet?id=WDU200609006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Małgorzata Kasjaniuk</cp:lastModifiedBy>
  <cp:revision>2</cp:revision>
  <dcterms:created xsi:type="dcterms:W3CDTF">2025-04-25T08:30:00Z</dcterms:created>
  <dcterms:modified xsi:type="dcterms:W3CDTF">2025-04-25T08:30:00Z</dcterms:modified>
</cp:coreProperties>
</file>