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82" w:rsidRDefault="00F40F88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9496" w:type="dxa"/>
        <w:tblInd w:w="-16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2"/>
        <w:gridCol w:w="994"/>
        <w:gridCol w:w="283"/>
        <w:gridCol w:w="849"/>
        <w:gridCol w:w="1133"/>
        <w:gridCol w:w="1420"/>
        <w:gridCol w:w="848"/>
        <w:gridCol w:w="995"/>
        <w:gridCol w:w="990"/>
      </w:tblGrid>
      <w:tr w:rsidR="00275F82" w:rsidRPr="00F40F88">
        <w:trPr>
          <w:trHeight w:val="272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75F82" w:rsidRPr="00F40F88" w:rsidRDefault="00F40F88">
            <w:pPr>
              <w:spacing w:after="0"/>
              <w:ind w:right="2"/>
              <w:jc w:val="center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WSB </w:t>
            </w:r>
            <w:r>
              <w:rPr>
                <w:rFonts w:ascii="Arial" w:eastAsia="Arial" w:hAnsi="Arial" w:cs="Arial"/>
                <w:b/>
                <w:sz w:val="20"/>
                <w:lang w:val="en-GB"/>
              </w:rPr>
              <w:t>University</w:t>
            </w:r>
            <w:bookmarkStart w:id="0" w:name="_GoBack"/>
            <w:bookmarkEnd w:id="0"/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 Branch/Department of Jaworzno </w:t>
            </w:r>
          </w:p>
        </w:tc>
      </w:tr>
      <w:tr w:rsidR="00275F82" w:rsidRPr="00F40F88">
        <w:trPr>
          <w:trHeight w:val="275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Field of study: INFORMATION TECHNOLOGY </w:t>
            </w:r>
          </w:p>
        </w:tc>
      </w:tr>
      <w:tr w:rsidR="00275F82">
        <w:trPr>
          <w:trHeight w:val="274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6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Subject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Physics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5F82">
        <w:trPr>
          <w:trHeight w:val="274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6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Educational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profile: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5F82" w:rsidRPr="00F40F88">
        <w:trPr>
          <w:trHeight w:val="274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Level of education: undergraduate studies </w:t>
            </w:r>
          </w:p>
        </w:tc>
      </w:tr>
      <w:tr w:rsidR="00275F82">
        <w:trPr>
          <w:trHeight w:val="274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68" w:right="24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Number of </w:t>
            </w:r>
            <w:proofErr w:type="gramStart"/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>hours  per</w:t>
            </w:r>
            <w:proofErr w:type="gramEnd"/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 semester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</w:tr>
      <w:tr w:rsidR="00275F82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275F82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III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IV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VII </w:t>
            </w:r>
          </w:p>
        </w:tc>
      </w:tr>
      <w:tr w:rsidR="00275F82">
        <w:trPr>
          <w:trHeight w:val="536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4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Full-time studies </w:t>
            </w:r>
          </w:p>
          <w:p w:rsidR="00275F82" w:rsidRPr="00F40F88" w:rsidRDefault="00F40F88">
            <w:pPr>
              <w:spacing w:after="0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(w/w/lab/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pr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>/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e)*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Pr="00F40F88" w:rsidRDefault="00F40F88">
            <w:pPr>
              <w:spacing w:after="0"/>
              <w:ind w:left="45"/>
              <w:jc w:val="center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5F82" w:rsidRDefault="00F40F88">
            <w:pPr>
              <w:spacing w:after="0"/>
              <w:ind w:left="1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16w / 16lab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>
        <w:trPr>
          <w:trHeight w:val="53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Part-time studies </w:t>
            </w:r>
          </w:p>
          <w:p w:rsidR="00275F82" w:rsidRPr="00F40F88" w:rsidRDefault="00F40F88">
            <w:pPr>
              <w:spacing w:after="0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(w/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æw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>/lab/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pr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/e)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Pr="00F40F88" w:rsidRDefault="00F40F88">
            <w:pPr>
              <w:spacing w:after="0"/>
              <w:ind w:left="45"/>
              <w:jc w:val="center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5F82" w:rsidRDefault="00F40F88">
            <w:pPr>
              <w:spacing w:after="0"/>
              <w:ind w:left="86"/>
            </w:pPr>
            <w:r>
              <w:rPr>
                <w:rFonts w:ascii="Arial" w:eastAsia="Arial" w:hAnsi="Arial" w:cs="Arial"/>
                <w:b/>
                <w:sz w:val="20"/>
              </w:rPr>
              <w:t>12w /   12lab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82" w:rsidRDefault="00F40F88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>
        <w:trPr>
          <w:trHeight w:val="539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LANGUAGE OF </w:t>
            </w:r>
          </w:p>
          <w:p w:rsidR="00275F82" w:rsidRDefault="00F40F88">
            <w:pPr>
              <w:spacing w:after="0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INSTRUCTION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7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Polish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 w:rsidRPr="00F40F88">
        <w:trPr>
          <w:trHeight w:val="27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LECTURER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7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D. Eng. Dawid Aleksander, Prof. AWSB, Dr Jerzy </w:t>
            </w:r>
            <w:proofErr w:type="spellStart"/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Stasz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,   </w:t>
            </w:r>
            <w:proofErr w:type="gramEnd"/>
          </w:p>
        </w:tc>
      </w:tr>
      <w:tr w:rsidR="00275F82">
        <w:trPr>
          <w:trHeight w:val="37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FORM OF ACTIVITIES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7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Lecture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laboratory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consultation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 w:rsidRPr="00F40F88">
        <w:trPr>
          <w:trHeight w:val="80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SUBJECT </w:t>
            </w:r>
          </w:p>
          <w:p w:rsidR="00275F82" w:rsidRDefault="00F40F88">
            <w:pPr>
              <w:spacing w:after="17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OBJECTIVES </w:t>
            </w:r>
          </w:p>
          <w:p w:rsidR="00275F82" w:rsidRDefault="00F40F88">
            <w:pPr>
              <w:spacing w:after="0"/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7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Obtain knowledge in physics to understand, among other things, the operation of tools used in computer science.  </w:t>
            </w:r>
          </w:p>
        </w:tc>
      </w:tr>
      <w:tr w:rsidR="00275F82" w:rsidRPr="00F40F88">
        <w:trPr>
          <w:trHeight w:val="296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Reference to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Description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of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Pr="00F40F88" w:rsidRDefault="00F40F88">
            <w:pPr>
              <w:spacing w:after="0"/>
              <w:ind w:left="114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Means of verification of the effect </w:t>
            </w:r>
          </w:p>
        </w:tc>
      </w:tr>
      <w:tr w:rsidR="00275F82">
        <w:trPr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Directional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PRK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275F82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275F82"/>
        </w:tc>
      </w:tr>
      <w:tr w:rsidR="00275F82">
        <w:trPr>
          <w:trHeight w:val="296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NEWS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>
        <w:trPr>
          <w:trHeight w:val="26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609"/>
              <w:ind w:left="68"/>
            </w:pPr>
            <w:r>
              <w:rPr>
                <w:rFonts w:ascii="Arial" w:eastAsia="Arial" w:hAnsi="Arial" w:cs="Arial"/>
                <w:sz w:val="20"/>
              </w:rPr>
              <w:t>INF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_W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  <w:p w:rsidR="00275F82" w:rsidRDefault="00F40F88">
            <w:pPr>
              <w:spacing w:after="0"/>
              <w:ind w:left="45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ind w:left="7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P6S_WG, </w:t>
            </w:r>
          </w:p>
          <w:p w:rsidR="00275F82" w:rsidRPr="00F40F88" w:rsidRDefault="00F40F88">
            <w:pPr>
              <w:spacing w:after="0"/>
              <w:ind w:left="7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P6S_WG_INZ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 w:line="277" w:lineRule="auto"/>
              <w:ind w:left="17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The student has the knowledge in mathematics and physics necessary to formulate and solve typical tasks in the field computer science </w:t>
            </w:r>
          </w:p>
          <w:p w:rsidR="00275F82" w:rsidRPr="00F40F88" w:rsidRDefault="00F40F88">
            <w:pPr>
              <w:spacing w:after="0" w:line="277" w:lineRule="auto"/>
              <w:ind w:left="17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Students will be familiar with the principles a practice of measurement and how to 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proces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measurement results </w:t>
            </w:r>
          </w:p>
          <w:p w:rsidR="00275F82" w:rsidRPr="00F40F88" w:rsidRDefault="00F40F88">
            <w:pPr>
              <w:spacing w:after="0" w:line="277" w:lineRule="auto"/>
              <w:ind w:left="17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Students will be able to operate the physical apparatus and process the results using appropriate software. </w:t>
            </w:r>
          </w:p>
          <w:p w:rsidR="00275F82" w:rsidRPr="00F40F88" w:rsidRDefault="00F40F88">
            <w:pPr>
              <w:spacing w:after="0"/>
              <w:ind w:left="7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"/>
                <w:lang w:val="en-GB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42" w:line="239" w:lineRule="auto"/>
              <w:ind w:left="7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Written examination in the form of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>P6S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open questions to test knowledge </w:t>
            </w:r>
          </w:p>
          <w:p w:rsidR="00275F82" w:rsidRPr="00F40F88" w:rsidRDefault="00F40F88">
            <w:pPr>
              <w:spacing w:after="13"/>
              <w:ind w:left="-1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of and open problem questions to test </w:t>
            </w:r>
          </w:p>
          <w:p w:rsidR="00275F82" w:rsidRPr="00F40F88" w:rsidRDefault="00F40F88">
            <w:pPr>
              <w:spacing w:after="0"/>
              <w:ind w:left="7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understanding of physical concepts. </w:t>
            </w:r>
          </w:p>
          <w:p w:rsidR="00275F82" w:rsidRPr="00F40F88" w:rsidRDefault="00F40F88">
            <w:pPr>
              <w:spacing w:after="0" w:line="216" w:lineRule="auto"/>
              <w:ind w:left="-20" w:right="119" w:firstLine="9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The student passes a preliminary </w:t>
            </w:r>
            <w:proofErr w:type="spellStart"/>
            <w:r w:rsidRPr="00F40F88">
              <w:rPr>
                <w:rFonts w:ascii="Arial" w:eastAsia="Arial" w:hAnsi="Arial" w:cs="Arial"/>
                <w:sz w:val="31"/>
                <w:vertAlign w:val="superscript"/>
                <w:lang w:val="en-GB"/>
              </w:rPr>
              <w:t>nd</w:t>
            </w:r>
            <w:proofErr w:type="spellEnd"/>
            <w:r w:rsidRPr="00F40F88">
              <w:rPr>
                <w:rFonts w:ascii="Arial" w:eastAsia="Arial" w:hAnsi="Arial" w:cs="Arial"/>
                <w:sz w:val="31"/>
                <w:vertAlign w:val="superscript"/>
                <w:lang w:val="en-GB"/>
              </w:rPr>
              <w:t xml:space="preserve">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colloquium; takes measurements </w:t>
            </w:r>
          </w:p>
          <w:p w:rsidR="00275F82" w:rsidRDefault="00F40F88">
            <w:pPr>
              <w:spacing w:after="0" w:line="257" w:lineRule="auto"/>
              <w:ind w:left="71" w:hanging="108"/>
            </w:pPr>
            <w:r w:rsidRPr="00F40F88">
              <w:rPr>
                <w:rFonts w:ascii="Arial" w:eastAsia="Arial" w:hAnsi="Arial" w:cs="Arial"/>
                <w:sz w:val="31"/>
                <w:vertAlign w:val="superscript"/>
                <w:lang w:val="en-GB"/>
              </w:rPr>
              <w:t xml:space="preserve">s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independently; elaborates on the results of the measurements. </w:t>
            </w:r>
            <w:r>
              <w:rPr>
                <w:rFonts w:ascii="Arial" w:eastAsia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elaboration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checked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275F82" w:rsidRDefault="00F40F88">
            <w:pPr>
              <w:spacing w:after="0"/>
              <w:ind w:left="7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>
        <w:trPr>
          <w:trHeight w:val="295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SKILLS </w:t>
            </w:r>
          </w:p>
        </w:tc>
      </w:tr>
      <w:tr w:rsidR="00275F82" w:rsidRPr="00F40F88">
        <w:trPr>
          <w:trHeight w:val="3502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ind w:left="68"/>
              <w:rPr>
                <w:lang w:val="en-GB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1076655</wp:posOffset>
                      </wp:positionH>
                      <wp:positionV relativeFrom="paragraph">
                        <wp:posOffset>-26654</wp:posOffset>
                      </wp:positionV>
                      <wp:extent cx="6096" cy="2216150"/>
                      <wp:effectExtent l="0" t="0" r="0" b="0"/>
                      <wp:wrapSquare wrapText="bothSides"/>
                      <wp:docPr id="9552" name="Group 9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16150"/>
                                <a:chOff x="0" y="0"/>
                                <a:chExt cx="6096" cy="2216150"/>
                              </a:xfrm>
                            </wpg:grpSpPr>
                            <wps:wsp>
                              <wps:cNvPr id="10168" name="Shape 10168"/>
                              <wps:cNvSpPr/>
                              <wps:spPr>
                                <a:xfrm>
                                  <a:off x="0" y="0"/>
                                  <a:ext cx="9144" cy="221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16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16150"/>
                                      </a:lnTo>
                                      <a:lnTo>
                                        <a:pt x="0" y="2216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52" style="width:0.479996pt;height:174.5pt;position:absolute;mso-position-horizontal-relative:text;mso-position-horizontal:absolute;margin-left:84.776pt;mso-position-vertical-relative:text;margin-top:-2.09882pt;" coordsize="60,22161">
                      <v:shape id="Shape 10169" style="position:absolute;width:91;height:22161;left:0;top:0;" coordsize="9144,2216150" path="m0,0l9144,0l9144,2216150l0,22161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2067636</wp:posOffset>
                      </wp:positionH>
                      <wp:positionV relativeFrom="paragraph">
                        <wp:posOffset>-26654</wp:posOffset>
                      </wp:positionV>
                      <wp:extent cx="6096" cy="2216150"/>
                      <wp:effectExtent l="0" t="0" r="0" b="0"/>
                      <wp:wrapSquare wrapText="bothSides"/>
                      <wp:docPr id="9553" name="Group 9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16150"/>
                                <a:chOff x="0" y="0"/>
                                <a:chExt cx="6096" cy="2216150"/>
                              </a:xfrm>
                            </wpg:grpSpPr>
                            <wps:wsp>
                              <wps:cNvPr id="10170" name="Shape 10170"/>
                              <wps:cNvSpPr/>
                              <wps:spPr>
                                <a:xfrm>
                                  <a:off x="0" y="0"/>
                                  <a:ext cx="9144" cy="221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16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16150"/>
                                      </a:lnTo>
                                      <a:lnTo>
                                        <a:pt x="0" y="2216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53" style="width:0.479996pt;height:174.5pt;position:absolute;mso-position-horizontal-relative:text;mso-position-horizontal:absolute;margin-left:162.806pt;mso-position-vertical-relative:text;margin-top:-2.09882pt;" coordsize="60,22161">
                      <v:shape id="Shape 10171" style="position:absolute;width:91;height:22161;left:0;top:0;" coordsize="9144,2216150" path="m0,0l9144,0l9144,2216150l0,22161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4227399</wp:posOffset>
                      </wp:positionH>
                      <wp:positionV relativeFrom="paragraph">
                        <wp:posOffset>-26654</wp:posOffset>
                      </wp:positionV>
                      <wp:extent cx="6096" cy="2216150"/>
                      <wp:effectExtent l="0" t="0" r="0" b="0"/>
                      <wp:wrapSquare wrapText="bothSides"/>
                      <wp:docPr id="9554" name="Group 9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16150"/>
                                <a:chOff x="0" y="0"/>
                                <a:chExt cx="6096" cy="2216150"/>
                              </a:xfrm>
                            </wpg:grpSpPr>
                            <wps:wsp>
                              <wps:cNvPr id="10172" name="Shape 10172"/>
                              <wps:cNvSpPr/>
                              <wps:spPr>
                                <a:xfrm>
                                  <a:off x="0" y="0"/>
                                  <a:ext cx="9144" cy="221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16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16150"/>
                                      </a:lnTo>
                                      <a:lnTo>
                                        <a:pt x="0" y="2216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54" style="width:0.480011pt;height:174.5pt;position:absolute;mso-position-horizontal-relative:text;mso-position-horizontal:absolute;margin-left:332.866pt;mso-position-vertical-relative:text;margin-top:-2.09882pt;" coordsize="60,22161">
                      <v:shape id="Shape 10173" style="position:absolute;width:91;height:22161;left:0;top:0;" coordsize="9144,2216150" path="m0,0l9144,0l9144,2216150l0,22161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>INF_U05 P6S_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UW  Students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will be able to plan and carry out Student describes natural </w:t>
            </w:r>
          </w:p>
          <w:p w:rsidR="00275F82" w:rsidRPr="00F40F88" w:rsidRDefault="00F40F88">
            <w:pPr>
              <w:spacing w:after="0" w:line="277" w:lineRule="auto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INF_U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06 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>experiments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, including measurements and phenomena correctly (written INF_U15 computer simulations, interpret the results colloquium) and discussion. </w:t>
            </w:r>
          </w:p>
          <w:p w:rsidR="00275F82" w:rsidRPr="00F40F88" w:rsidRDefault="00F40F88">
            <w:pPr>
              <w:spacing w:after="17"/>
              <w:ind w:left="6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INF_U10 obtained and draw conclusions when Student carries out measurements </w:t>
            </w:r>
          </w:p>
          <w:p w:rsidR="00275F82" w:rsidRPr="00F40F88" w:rsidRDefault="00F40F88">
            <w:pPr>
              <w:spacing w:after="0" w:line="277" w:lineRule="auto"/>
              <w:ind w:left="3256" w:right="2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identifying and formulating s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pecifications for and elaboration of results engineering tasks and solving them:  independently, culminating in a </w:t>
            </w:r>
          </w:p>
          <w:p w:rsidR="00275F82" w:rsidRPr="00F40F88" w:rsidRDefault="00F40F88">
            <w:pPr>
              <w:spacing w:after="17"/>
              <w:ind w:left="3256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- use analytical, simulation and experimental credit report </w:t>
            </w:r>
          </w:p>
          <w:p w:rsidR="00275F82" w:rsidRPr="00F40F88" w:rsidRDefault="00F40F88">
            <w:pPr>
              <w:spacing w:after="14"/>
              <w:ind w:left="3256" w:right="2829"/>
              <w:jc w:val="center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methods,   </w:t>
            </w:r>
          </w:p>
          <w:p w:rsidR="00275F82" w:rsidRPr="00F40F88" w:rsidRDefault="00F40F88">
            <w:pPr>
              <w:spacing w:after="0"/>
              <w:ind w:left="3256" w:right="2829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Students will be familiar with the principles and practice of measur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>ement and how to process measurement results. He learns the basic truth that all measurements and technical data are subject to measurement uncertainty.</w:t>
            </w:r>
            <w:r w:rsidRPr="00F40F88">
              <w:rPr>
                <w:lang w:val="en-GB"/>
              </w:rPr>
              <w:t xml:space="preserve"> </w:t>
            </w:r>
          </w:p>
        </w:tc>
      </w:tr>
      <w:tr w:rsidR="00275F82">
        <w:trPr>
          <w:trHeight w:val="295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F82" w:rsidRDefault="00F40F8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SOCIAL COMPETENCES </w:t>
            </w:r>
          </w:p>
        </w:tc>
      </w:tr>
    </w:tbl>
    <w:p w:rsidR="00275F82" w:rsidRDefault="00275F82">
      <w:pPr>
        <w:spacing w:after="0"/>
        <w:ind w:left="-1440" w:right="10466"/>
      </w:pPr>
    </w:p>
    <w:tbl>
      <w:tblPr>
        <w:tblStyle w:val="TableGrid"/>
        <w:tblW w:w="9498" w:type="dxa"/>
        <w:tblInd w:w="-165" w:type="dxa"/>
        <w:tblCellMar>
          <w:top w:w="5" w:type="dxa"/>
          <w:left w:w="7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83"/>
        <w:gridCol w:w="1534"/>
        <w:gridCol w:w="3316"/>
        <w:gridCol w:w="2765"/>
      </w:tblGrid>
      <w:tr w:rsidR="00275F82" w:rsidRPr="00F40F88">
        <w:trPr>
          <w:trHeight w:val="29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INF_K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75F82" w:rsidRDefault="00F40F8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P6S_KK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 w:line="276" w:lineRule="auto"/>
              <w:ind w:right="21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The student is ready to critically evaluate his/her knowledge and perceived content concerning the achievements of computer 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science ,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recognise the importance of knowledge in solving cognitive and practical problems and to consult experts when having diffi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culties in solving a problem independently. 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Students will be able to assess the conformity of quoted 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opinions ,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e.g. political, economic with basic physical principles.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Discussions in lectures and laboratory. Group interaction in the development of issu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es </w:t>
            </w:r>
          </w:p>
        </w:tc>
      </w:tr>
      <w:tr w:rsidR="00275F82" w:rsidRPr="00F40F88">
        <w:trPr>
          <w:trHeight w:val="43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Student workload (in teaching hours 1h =45 </w:t>
            </w:r>
            <w:proofErr w:type="gramStart"/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>minutes)*</w:t>
            </w:r>
            <w:proofErr w:type="gramEnd"/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*  </w:t>
            </w:r>
          </w:p>
        </w:tc>
      </w:tr>
      <w:tr w:rsidR="00275F82" w:rsidRPr="00F40F88">
        <w:trPr>
          <w:trHeight w:val="344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rPr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2967558</wp:posOffset>
                      </wp:positionH>
                      <wp:positionV relativeFrom="paragraph">
                        <wp:posOffset>-28178</wp:posOffset>
                      </wp:positionV>
                      <wp:extent cx="6096" cy="2179574"/>
                      <wp:effectExtent l="0" t="0" r="0" b="0"/>
                      <wp:wrapSquare wrapText="bothSides"/>
                      <wp:docPr id="8458" name="Group 8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79574"/>
                                <a:chOff x="0" y="0"/>
                                <a:chExt cx="6096" cy="2179574"/>
                              </a:xfrm>
                            </wpg:grpSpPr>
                            <wps:wsp>
                              <wps:cNvPr id="10174" name="Shape 10174"/>
                              <wps:cNvSpPr/>
                              <wps:spPr>
                                <a:xfrm>
                                  <a:off x="0" y="0"/>
                                  <a:ext cx="9144" cy="2179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7957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79574"/>
                                      </a:lnTo>
                                      <a:lnTo>
                                        <a:pt x="0" y="2179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58" style="width:0.480011pt;height:171.62pt;position:absolute;mso-position-horizontal-relative:text;mso-position-horizontal:absolute;margin-left:233.666pt;mso-position-vertical-relative:text;margin-top:-2.21881pt;" coordsize="60,21795">
                      <v:shape id="Shape 10175" style="position:absolute;width:91;height:21795;left:0;top:0;" coordsize="9144,2179574" path="m0,0l9144,0l9144,2179574l0,217957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Stationary Part-time </w:t>
            </w:r>
          </w:p>
          <w:p w:rsidR="00275F82" w:rsidRPr="00F40F88" w:rsidRDefault="00F40F88">
            <w:pPr>
              <w:spacing w:after="0" w:line="276" w:lineRule="auto"/>
              <w:ind w:right="2499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attendance at lectures = 16 attendance at lectures = 12 participation in exercises = 16 participation in exercises = 12 preparation for exercise = 30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preparation for exercise = 32 lecture preparation = 20 lecture preparation 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=  26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exam preparation = 10 exam preparation = 10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implementation of project tasks = implementation of project tasks =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e-learning = e-learning = </w:t>
            </w:r>
          </w:p>
          <w:p w:rsidR="00275F82" w:rsidRPr="00F40F88" w:rsidRDefault="00F40F88">
            <w:pPr>
              <w:spacing w:after="0" w:line="277" w:lineRule="auto"/>
              <w:ind w:right="273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Pass/examination = 4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Pass/examination = 4 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other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(consultation) = 4 other (consultation) = 4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TOTAL: 100h TOTAL: 100h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Number of ECTS credits: 4 Number of ECTS credits: 4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including in practical classes: 2 including in practical classes: 2 </w:t>
            </w:r>
          </w:p>
        </w:tc>
      </w:tr>
      <w:tr w:rsidR="00275F82" w:rsidRPr="00F40F88">
        <w:trPr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PREREQUISITES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Knowledge of physics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at secondary school level and mathematics at tertiary level </w:t>
            </w:r>
          </w:p>
        </w:tc>
      </w:tr>
      <w:tr w:rsidR="00275F82">
        <w:trPr>
          <w:trHeight w:val="34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lastRenderedPageBreak/>
              <w:t xml:space="preserve">SUBJECT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CONTENT </w:t>
            </w:r>
          </w:p>
          <w:p w:rsidR="00275F82" w:rsidRPr="00F40F88" w:rsidRDefault="00F40F88">
            <w:pPr>
              <w:spacing w:after="36" w:line="274" w:lineRule="auto"/>
              <w:ind w:right="36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40F88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40F88">
              <w:rPr>
                <w:rFonts w:ascii="Arial" w:eastAsia="Arial" w:hAnsi="Arial" w:cs="Arial"/>
                <w:sz w:val="16"/>
                <w:lang w:val="en-GB"/>
              </w:rPr>
              <w:t xml:space="preserve">-to-face and </w:t>
            </w:r>
            <w:proofErr w:type="spellStart"/>
            <w:r w:rsidRPr="00F40F88">
              <w:rPr>
                <w:rFonts w:ascii="Arial" w:eastAsia="Arial" w:hAnsi="Arial" w:cs="Arial"/>
                <w:sz w:val="16"/>
                <w:lang w:val="en-GB"/>
              </w:rPr>
              <w:t>elearning</w:t>
            </w:r>
            <w:proofErr w:type="spellEnd"/>
            <w:r w:rsidRPr="00F40F88">
              <w:rPr>
                <w:rFonts w:ascii="Arial" w:eastAsia="Arial" w:hAnsi="Arial" w:cs="Arial"/>
                <w:sz w:val="16"/>
                <w:lang w:val="en-GB"/>
              </w:rPr>
              <w:t xml:space="preserve"> classes)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Content delivered in face-to-face and e-learning formats: 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Physical quantities and their measurements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Mechanics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Thermodynamics and molecular physics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Condensed phase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Electricity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Electromagnetism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Vibrations and mechanical waves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Geometrical and wave optics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Special theory of relativity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Wave-corpuscular duality of matter </w:t>
            </w:r>
          </w:p>
          <w:p w:rsidR="00275F82" w:rsidRPr="00F40F88" w:rsidRDefault="00F40F88">
            <w:pPr>
              <w:spacing w:after="17"/>
              <w:ind w:left="15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Models of atomic and 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solid state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structure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  <w:p w:rsidR="00275F82" w:rsidRDefault="00F40F88">
            <w:pPr>
              <w:spacing w:after="0"/>
              <w:ind w:left="15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Nuclear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physics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5F82">
        <w:trPr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LITERATURE  </w:t>
            </w:r>
          </w:p>
          <w:p w:rsidR="00275F82" w:rsidRDefault="00F40F88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COMPULSORY </w:t>
            </w:r>
          </w:p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numPr>
                <w:ilvl w:val="0"/>
                <w:numId w:val="1"/>
              </w:numPr>
              <w:spacing w:after="43" w:line="283" w:lineRule="auto"/>
              <w:ind w:hanging="348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W.Bogusz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, F. Krok, J. Garbacz, Podstawy fizyki, Oficyna Wydawnicza Politechniki Warszawskiej, 2023 </w:t>
            </w:r>
          </w:p>
          <w:p w:rsidR="00275F82" w:rsidRDefault="00F40F88">
            <w:pPr>
              <w:numPr>
                <w:ilvl w:val="0"/>
                <w:numId w:val="1"/>
              </w:numPr>
              <w:spacing w:after="31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J. Massalski, Fizyka dla inżynierów, cz.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II, Wydawnictwo Naukowe PWN, Warszawa 2018 </w:t>
            </w:r>
          </w:p>
          <w:p w:rsidR="00275F82" w:rsidRDefault="00F40F88">
            <w:pPr>
              <w:numPr>
                <w:ilvl w:val="0"/>
                <w:numId w:val="1"/>
              </w:numPr>
              <w:spacing w:after="0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Stasz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Physical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laboratory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WSB Dąbrowa Górnicza 2018 </w:t>
            </w:r>
          </w:p>
        </w:tc>
      </w:tr>
      <w:tr w:rsidR="00275F82">
        <w:trPr>
          <w:trHeight w:val="17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LITERATURE  </w:t>
            </w:r>
          </w:p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SUPPLEMENTARY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16"/>
                <w:lang w:val="en-GB"/>
              </w:rPr>
              <w:t xml:space="preserve">(including min. 2 items in English; book publications or articles)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numPr>
                <w:ilvl w:val="0"/>
                <w:numId w:val="2"/>
              </w:numPr>
              <w:spacing w:after="0"/>
              <w:ind w:hanging="348"/>
              <w:rPr>
                <w:lang w:val="en-GB"/>
              </w:rPr>
            </w:pPr>
            <w:hyperlink r:id="rId5">
              <w:r w:rsidRPr="00F40F88">
                <w:rPr>
                  <w:rFonts w:ascii="Arial" w:eastAsia="Arial" w:hAnsi="Arial" w:cs="Arial"/>
                  <w:color w:val="0000FF"/>
                  <w:sz w:val="20"/>
                  <w:u w:val="single" w:color="0000FF"/>
                  <w:lang w:val="en-GB"/>
                </w:rPr>
                <w:t>http://ocw.mit.edu/courses/physics/</w:t>
              </w:r>
            </w:hyperlink>
            <w:hyperlink r:id="rId6">
              <w:r w:rsidRPr="00F40F88">
                <w:rPr>
                  <w:rFonts w:ascii="Arial" w:eastAsia="Arial" w:hAnsi="Arial" w:cs="Arial"/>
                  <w:sz w:val="20"/>
                  <w:lang w:val="en-GB"/>
                </w:rPr>
                <w:t xml:space="preserve"> </w:t>
              </w:r>
            </w:hyperlink>
          </w:p>
          <w:p w:rsidR="00275F82" w:rsidRPr="00F40F88" w:rsidRDefault="00F40F88">
            <w:pPr>
              <w:numPr>
                <w:ilvl w:val="0"/>
                <w:numId w:val="2"/>
              </w:numPr>
              <w:spacing w:after="0"/>
              <w:ind w:hanging="348"/>
              <w:rPr>
                <w:lang w:val="en-GB"/>
              </w:rPr>
            </w:pPr>
            <w:hyperlink r:id="rId7">
              <w:r w:rsidRPr="00F40F88">
                <w:rPr>
                  <w:rFonts w:ascii="Arial" w:eastAsia="Arial" w:hAnsi="Arial" w:cs="Arial"/>
                  <w:color w:val="0000FF"/>
                  <w:sz w:val="20"/>
                  <w:u w:val="single" w:color="0000FF"/>
                  <w:lang w:val="en-GB"/>
                </w:rPr>
                <w:t>http://hyperphysics.phy</w:t>
              </w:r>
            </w:hyperlink>
            <w:hyperlink r:id="rId8">
              <w:r w:rsidRPr="00F40F88">
                <w:rPr>
                  <w:rFonts w:ascii="Arial" w:eastAsia="Arial" w:hAnsi="Arial" w:cs="Arial"/>
                  <w:color w:val="0000FF"/>
                  <w:sz w:val="20"/>
                  <w:u w:val="single" w:color="0000FF"/>
                  <w:lang w:val="en-GB"/>
                </w:rPr>
                <w:t>-</w:t>
              </w:r>
            </w:hyperlink>
            <w:hyperlink r:id="rId9">
              <w:r w:rsidRPr="00F40F88">
                <w:rPr>
                  <w:rFonts w:ascii="Arial" w:eastAsia="Arial" w:hAnsi="Arial" w:cs="Arial"/>
                  <w:color w:val="0000FF"/>
                  <w:sz w:val="20"/>
                  <w:u w:val="single" w:color="0000FF"/>
                  <w:lang w:val="en-GB"/>
                </w:rPr>
                <w:t>astr.gsu.edu/hbase/hframe.html</w:t>
              </w:r>
            </w:hyperlink>
            <w:hyperlink r:id="rId10">
              <w:r w:rsidRPr="00F40F88">
                <w:rPr>
                  <w:rFonts w:ascii="Arial" w:eastAsia="Arial" w:hAnsi="Arial" w:cs="Arial"/>
                  <w:sz w:val="20"/>
                  <w:lang w:val="en-GB"/>
                </w:rPr>
                <w:t xml:space="preserve"> </w:t>
              </w:r>
            </w:hyperlink>
          </w:p>
          <w:p w:rsidR="00275F82" w:rsidRDefault="00F40F88">
            <w:pPr>
              <w:numPr>
                <w:ilvl w:val="0"/>
                <w:numId w:val="2"/>
              </w:numPr>
              <w:spacing w:after="0"/>
              <w:ind w:hanging="348"/>
            </w:pPr>
            <w:hyperlink r:id="rId1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https://openstax.pl/pl/</w:t>
              </w:r>
            </w:hyperlink>
            <w:hyperlink r:id="rId1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  <w:p w:rsidR="00275F82" w:rsidRPr="00F40F88" w:rsidRDefault="00F40F88">
            <w:pPr>
              <w:numPr>
                <w:ilvl w:val="0"/>
                <w:numId w:val="2"/>
              </w:numPr>
              <w:spacing w:after="0"/>
              <w:ind w:hanging="34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D. Halliday, R. Resnick, J. Walker, Fundamentals of Physics, PWN, W-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wa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2003 </w:t>
            </w:r>
          </w:p>
          <w:p w:rsidR="00275F82" w:rsidRDefault="00F40F88">
            <w:pPr>
              <w:numPr>
                <w:ilvl w:val="0"/>
                <w:numId w:val="2"/>
              </w:numPr>
              <w:spacing w:after="0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Stasz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Fizyka -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repetytorium ,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PWN Wydawnictwo Szkolne, W-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2010 </w:t>
            </w:r>
          </w:p>
          <w:p w:rsidR="00275F82" w:rsidRDefault="00F40F88">
            <w:pPr>
              <w:numPr>
                <w:ilvl w:val="0"/>
                <w:numId w:val="2"/>
              </w:numPr>
              <w:spacing w:after="0"/>
              <w:ind w:hanging="348"/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J. 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Stasz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, Collection of physics assignments for students of Computer Science. </w:t>
            </w:r>
            <w:r>
              <w:rPr>
                <w:rFonts w:ascii="Arial" w:eastAsia="Arial" w:hAnsi="Arial" w:cs="Arial"/>
                <w:sz w:val="20"/>
              </w:rPr>
              <w:t xml:space="preserve">WSB Dąbrowa Górnica 2011 </w:t>
            </w:r>
          </w:p>
        </w:tc>
      </w:tr>
      <w:tr w:rsidR="00275F82">
        <w:trPr>
          <w:trHeight w:val="5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SCHOLARLY </w:t>
            </w:r>
          </w:p>
          <w:p w:rsidR="00275F82" w:rsidRDefault="00F40F88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PUBLICATIONS BY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722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D. Aleksander,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Molecular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dynamics (MD)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homocysteine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nanosystems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computer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simulation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[in:] Raczyński Przemysław Czesław, Dawid Aleksander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Slawomir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Gburski Zygmunt Edmund, </w:t>
            </w:r>
          </w:p>
        </w:tc>
      </w:tr>
      <w:tr w:rsidR="00275F82" w:rsidRPr="00F40F88">
        <w:trPr>
          <w:trHeight w:val="1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INSTRUCTORS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RELATED TO THE </w:t>
            </w:r>
          </w:p>
          <w:p w:rsidR="00275F82" w:rsidRPr="00F40F88" w:rsidRDefault="00F40F88">
            <w:pPr>
              <w:spacing w:after="14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TOPICS OF THE </w:t>
            </w:r>
          </w:p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33"/>
              <w:ind w:left="72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BIOMOLECULAR ENGINEERING, 2007, vol. 24, no. 5, pp.577-581. </w:t>
            </w:r>
          </w:p>
          <w:p w:rsidR="00275F82" w:rsidRPr="00F40F88" w:rsidRDefault="00F40F88">
            <w:pPr>
              <w:spacing w:after="0" w:line="244" w:lineRule="auto"/>
              <w:ind w:left="722" w:hanging="360"/>
              <w:rPr>
                <w:lang w:val="en-GB"/>
              </w:rPr>
            </w:pPr>
            <w:r w:rsidRPr="00F40F88">
              <w:rPr>
                <w:rFonts w:ascii="Segoe UI Symbol" w:eastAsia="Segoe UI Symbol" w:hAnsi="Segoe UI Symbol" w:cs="Segoe UI Symbol"/>
                <w:sz w:val="20"/>
                <w:lang w:val="en-GB"/>
              </w:rPr>
              <w:t>•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ab/>
              <w:t xml:space="preserve">D. Aleksander, Computer simulation of the dynamics of homocysteine molecules surrounding a carbon nanotube, [in:] Raczyński Przemysław 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Czesław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, Dawid Aleksander Sławomir, 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Dendzik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Zbign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iew Andrzej [et al], In: Perspectives of nanoscience and nanotechnology Acta 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Materialia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  <w:p w:rsidR="00275F82" w:rsidRPr="00F40F88" w:rsidRDefault="00F40F88">
            <w:pPr>
              <w:spacing w:after="0"/>
              <w:ind w:right="45"/>
              <w:jc w:val="right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Gold Medal </w:t>
            </w:r>
            <w:proofErr w:type="gramStart"/>
            <w:r w:rsidRPr="00F40F88">
              <w:rPr>
                <w:rFonts w:ascii="Arial" w:eastAsia="Arial" w:hAnsi="Arial" w:cs="Arial"/>
                <w:sz w:val="20"/>
                <w:lang w:val="en-GB"/>
              </w:rPr>
              <w:t>Workshop ;</w:t>
            </w:r>
            <w:proofErr w:type="gram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selected, peer reviewed papers from the European Materials Research </w:t>
            </w:r>
          </w:p>
          <w:p w:rsidR="00275F82" w:rsidRPr="00F40F88" w:rsidRDefault="00F40F88">
            <w:pPr>
              <w:spacing w:after="0"/>
              <w:ind w:left="72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Society, fall meeting, Warsaw University of Technology, 17th - </w:t>
            </w: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21st September, 2007, 2008, </w:t>
            </w:r>
            <w:proofErr w:type="spellStart"/>
            <w:r w:rsidRPr="00F40F88">
              <w:rPr>
                <w:rFonts w:ascii="Arial" w:eastAsia="Arial" w:hAnsi="Arial" w:cs="Arial"/>
                <w:sz w:val="20"/>
                <w:lang w:val="en-GB"/>
              </w:rPr>
              <w:t>Stafa</w:t>
            </w:r>
            <w:proofErr w:type="spellEnd"/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-Zurich, Trans Tech Publ., p.147-152 </w:t>
            </w:r>
          </w:p>
        </w:tc>
      </w:tr>
      <w:tr w:rsidR="00275F82" w:rsidRPr="00F40F88">
        <w:trPr>
          <w:trHeight w:val="5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TEACHING </w:t>
            </w:r>
          </w:p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METHODS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22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Lecture: presentations of physical phenomena </w:t>
            </w:r>
          </w:p>
          <w:p w:rsidR="00275F82" w:rsidRPr="00F40F88" w:rsidRDefault="00F40F88">
            <w:pPr>
              <w:spacing w:after="0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>Laboratory: Independent taking of measurements and their elaboration</w:t>
            </w:r>
            <w:r w:rsidRPr="00F40F88">
              <w:rPr>
                <w:lang w:val="en-GB"/>
              </w:rPr>
              <w:t xml:space="preserve">. </w:t>
            </w:r>
          </w:p>
        </w:tc>
      </w:tr>
      <w:tr w:rsidR="00275F82" w:rsidRPr="00F40F88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LEARNING AIDS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numPr>
                <w:ilvl w:val="0"/>
                <w:numId w:val="3"/>
              </w:numPr>
              <w:spacing w:after="31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Stasz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Zajęcia wyrównawcze, WSB Dąbrowa Górnicza 2013 </w:t>
            </w:r>
          </w:p>
          <w:p w:rsidR="00275F82" w:rsidRPr="00F40F88" w:rsidRDefault="00F40F88">
            <w:pPr>
              <w:numPr>
                <w:ilvl w:val="0"/>
                <w:numId w:val="3"/>
              </w:numPr>
              <w:spacing w:after="0"/>
              <w:ind w:hanging="348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Technical manuals of instruments used in the laboratory </w:t>
            </w:r>
          </w:p>
        </w:tc>
      </w:tr>
      <w:tr w:rsidR="00275F82">
        <w:trPr>
          <w:trHeight w:val="9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PROJECT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16"/>
                <w:lang w:val="en-GB"/>
              </w:rPr>
              <w:t xml:space="preserve">(insofar as it is carried out as part of a course module)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Default="00F40F8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275F82" w:rsidRPr="00F40F88">
        <w:trPr>
          <w:trHeight w:val="8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FORM AND </w:t>
            </w:r>
          </w:p>
          <w:p w:rsidR="00275F82" w:rsidRPr="00F40F88" w:rsidRDefault="00F40F88">
            <w:pPr>
              <w:spacing w:after="17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CONDITIONS OF </w:t>
            </w:r>
          </w:p>
          <w:p w:rsidR="00275F82" w:rsidRPr="00F40F88" w:rsidRDefault="00F40F88">
            <w:pPr>
              <w:spacing w:after="0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b/>
                <w:sz w:val="20"/>
                <w:lang w:val="en-GB"/>
              </w:rPr>
              <w:t xml:space="preserve">PASSING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82" w:rsidRPr="00F40F88" w:rsidRDefault="00F40F88">
            <w:pPr>
              <w:spacing w:after="17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Lecture: written exam with mark for class activity </w:t>
            </w:r>
          </w:p>
          <w:p w:rsidR="00275F82" w:rsidRPr="00F40F88" w:rsidRDefault="00F40F88">
            <w:pPr>
              <w:spacing w:after="17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Laboratory: credit for preliminary colloquium; credit for reports from designated  </w:t>
            </w:r>
          </w:p>
          <w:p w:rsidR="00275F82" w:rsidRPr="00F40F88" w:rsidRDefault="00F40F88">
            <w:pPr>
              <w:spacing w:after="0"/>
              <w:ind w:left="2"/>
              <w:rPr>
                <w:lang w:val="en-GB"/>
              </w:rPr>
            </w:pPr>
            <w:r w:rsidRPr="00F40F88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</w:tbl>
    <w:p w:rsidR="00275F82" w:rsidRPr="00F40F88" w:rsidRDefault="00F40F88">
      <w:pPr>
        <w:spacing w:after="0"/>
        <w:ind w:left="-24"/>
        <w:jc w:val="both"/>
        <w:rPr>
          <w:lang w:val="en-GB"/>
        </w:rPr>
      </w:pPr>
      <w:r w:rsidRPr="00F40F88">
        <w:rPr>
          <w:rFonts w:ascii="Arial" w:eastAsia="Arial" w:hAnsi="Arial" w:cs="Arial"/>
          <w:i/>
          <w:sz w:val="20"/>
          <w:lang w:val="en-GB"/>
        </w:rPr>
        <w:t xml:space="preserve"> </w:t>
      </w:r>
    </w:p>
    <w:sectPr w:rsidR="00275F82" w:rsidRPr="00F40F88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FF9"/>
    <w:multiLevelType w:val="hybridMultilevel"/>
    <w:tmpl w:val="F8CE983C"/>
    <w:lvl w:ilvl="0" w:tplc="B178F9A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C4DD8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FAC0C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C69A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2EE68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83C5E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E7D6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6F13A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C0BA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32FA8"/>
    <w:multiLevelType w:val="hybridMultilevel"/>
    <w:tmpl w:val="FDC05D74"/>
    <w:lvl w:ilvl="0" w:tplc="AC6659B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8BEAC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89530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01BC2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01340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4B608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E6C6C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268A1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C9E42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8A00D3"/>
    <w:multiLevelType w:val="hybridMultilevel"/>
    <w:tmpl w:val="80A6E09E"/>
    <w:lvl w:ilvl="0" w:tplc="AD763E0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0E6E4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8629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CE4852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2EB18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AB72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20046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2244D4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804F94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82"/>
    <w:rsid w:val="00275F82"/>
    <w:rsid w:val="00F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5AD2"/>
  <w15:docId w15:val="{C1089191-B859-4EA7-9FB3-D005E4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perphysics.phy-astr.gsu.edu/hbase/hfram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yperphysics.phy-astr.gsu.edu/hbase/hframe.html" TargetMode="External"/><Relationship Id="rId12" Type="http://schemas.openxmlformats.org/officeDocument/2006/relationships/hyperlink" Target="https://openstax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w.mit.edu/courses/physics/" TargetMode="External"/><Relationship Id="rId11" Type="http://schemas.openxmlformats.org/officeDocument/2006/relationships/hyperlink" Target="https://openstax.pl/pl/" TargetMode="External"/><Relationship Id="rId5" Type="http://schemas.openxmlformats.org/officeDocument/2006/relationships/hyperlink" Target="http://ocw.mit.edu/courses/physics/" TargetMode="External"/><Relationship Id="rId10" Type="http://schemas.openxmlformats.org/officeDocument/2006/relationships/hyperlink" Target="http://hyperphysics.phy-astr.gsu.edu/hbase/hfra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yperphysics.phy-astr.gsu.edu/hbase/hfra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cp:lastModifiedBy>Małgorzata Kasjaniuk</cp:lastModifiedBy>
  <cp:revision>2</cp:revision>
  <dcterms:created xsi:type="dcterms:W3CDTF">2025-04-25T08:32:00Z</dcterms:created>
  <dcterms:modified xsi:type="dcterms:W3CDTF">2025-04-25T08:32:00Z</dcterms:modified>
</cp:coreProperties>
</file>