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08C1" w14:textId="770195BF" w:rsidR="00897082" w:rsidRDefault="00452129">
      <w:pPr>
        <w:pStyle w:val="P68B1DB1-Normalny1"/>
        <w:shd w:val="clear" w:color="auto" w:fill="FFFFFF"/>
        <w:spacing w:after="0" w:line="240" w:lineRule="auto"/>
        <w:jc w:val="center"/>
        <w:textAlignment w:val="baseline"/>
        <w:rPr>
          <w:sz w:val="20"/>
        </w:rPr>
      </w:pPr>
      <w:r>
        <w:t>ORDINANCE OF</w:t>
      </w:r>
      <w:r w:rsidR="00BE6AE5">
        <w:t xml:space="preserve"> THE RECTOR OF WSB </w:t>
      </w:r>
      <w:r>
        <w:t>UNIVERSITY</w:t>
      </w:r>
    </w:p>
    <w:p w14:paraId="6290809E" w14:textId="34A05776" w:rsidR="00897082" w:rsidRDefault="00BE6AE5">
      <w:pPr>
        <w:pStyle w:val="P68B1DB1-Normalny1"/>
        <w:shd w:val="clear" w:color="auto" w:fill="FFFFFF"/>
        <w:spacing w:after="0" w:line="240" w:lineRule="auto"/>
        <w:jc w:val="center"/>
        <w:textAlignment w:val="baseline"/>
        <w:rPr>
          <w:sz w:val="20"/>
        </w:rPr>
      </w:pPr>
      <w:r>
        <w:t>No 35/21/22 of 12 January 2022</w:t>
      </w:r>
    </w:p>
    <w:p w14:paraId="5CA3298E" w14:textId="37B3A2F7" w:rsidR="00897082" w:rsidRDefault="00BE6AE5">
      <w:pPr>
        <w:pStyle w:val="P68B1DB1-Normalny2"/>
        <w:shd w:val="clear" w:color="auto" w:fill="FFFFFF"/>
        <w:spacing w:after="0" w:line="240" w:lineRule="auto"/>
        <w:jc w:val="center"/>
        <w:textAlignment w:val="baseline"/>
        <w:rPr>
          <w:color w:val="000000"/>
          <w:sz w:val="20"/>
        </w:rPr>
      </w:pPr>
      <w:r>
        <w:rPr>
          <w:color w:val="000000"/>
        </w:rPr>
        <w:t>on the introduction </w:t>
      </w:r>
      <w:r>
        <w:t xml:space="preserve">of the improvement of the standard </w:t>
      </w:r>
      <w:r w:rsidR="00452129">
        <w:rPr>
          <w:color w:val="000000"/>
        </w:rPr>
        <w:t>of writing engineering theses</w:t>
      </w:r>
      <w:r>
        <w:rPr>
          <w:color w:val="000000"/>
        </w:rPr>
        <w:t xml:space="preserve"> in engineering and technical </w:t>
      </w:r>
      <w:r w:rsidR="00452129">
        <w:rPr>
          <w:color w:val="000000"/>
        </w:rPr>
        <w:t>fields of study</w:t>
      </w:r>
    </w:p>
    <w:p w14:paraId="7A7E0599" w14:textId="77777777" w:rsidR="00897082" w:rsidRDefault="00BE6AE5">
      <w:pPr>
        <w:pStyle w:val="P68B1DB1-Normalny3"/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 </w:t>
      </w:r>
    </w:p>
    <w:p w14:paraId="243765A8" w14:textId="77777777" w:rsidR="00897082" w:rsidRDefault="00897082">
      <w:p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B7E82A7" w14:textId="5A0AEAFC" w:rsidR="00897082" w:rsidRDefault="00452129">
      <w:pPr>
        <w:pStyle w:val="P68B1DB1-Normalny4"/>
        <w:spacing w:after="0" w:line="276" w:lineRule="auto"/>
        <w:jc w:val="both"/>
      </w:pPr>
      <w:r>
        <w:rPr>
          <w:color w:val="000000"/>
        </w:rPr>
        <w:t>Acting pursuant to Art.</w:t>
      </w:r>
      <w:r w:rsidR="00BE6AE5">
        <w:rPr>
          <w:color w:val="000000"/>
        </w:rPr>
        <w:t xml:space="preserve"> 23 of the Act of 20 July 2018 </w:t>
      </w:r>
      <w:r>
        <w:rPr>
          <w:color w:val="000000"/>
        </w:rPr>
        <w:t xml:space="preserve">Law </w:t>
      </w:r>
      <w:r w:rsidR="00BE6AE5">
        <w:rPr>
          <w:color w:val="000000"/>
        </w:rPr>
        <w:t>on Higher Education a</w:t>
      </w:r>
      <w:r>
        <w:rPr>
          <w:color w:val="000000"/>
        </w:rPr>
        <w:t xml:space="preserve">nd Science (Journal of Laws of </w:t>
      </w:r>
      <w:r w:rsidR="00BE6AE5">
        <w:t>2018, item 1668, as amended), the following provisions are hereby laid down:</w:t>
      </w:r>
    </w:p>
    <w:p w14:paraId="4FA9B6B1" w14:textId="51B886DD" w:rsidR="00897082" w:rsidRDefault="00897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3CD284BC" w14:textId="2FFE6468" w:rsidR="00897082" w:rsidRDefault="00452129">
      <w:pPr>
        <w:pStyle w:val="P68B1DB1-Normalny5"/>
        <w:shd w:val="clear" w:color="auto" w:fill="FFFFFF"/>
        <w:spacing w:after="0" w:line="240" w:lineRule="auto"/>
        <w:jc w:val="center"/>
        <w:textAlignment w:val="baseline"/>
        <w:rPr>
          <w:sz w:val="20"/>
        </w:rPr>
      </w:pPr>
      <w:r w:rsidRPr="00844251">
        <w:rPr>
          <w:szCs w:val="24"/>
        </w:rPr>
        <w:t>§</w:t>
      </w:r>
      <w:r>
        <w:rPr>
          <w:szCs w:val="24"/>
        </w:rPr>
        <w:t xml:space="preserve"> </w:t>
      </w:r>
      <w:r w:rsidR="00BE6AE5">
        <w:t>1 </w:t>
      </w:r>
    </w:p>
    <w:p w14:paraId="733AF15E" w14:textId="77777777" w:rsidR="00897082" w:rsidRDefault="00BE6AE5">
      <w:pPr>
        <w:pStyle w:val="P68B1DB1-Normalny5"/>
        <w:shd w:val="clear" w:color="auto" w:fill="FFFFFF"/>
        <w:spacing w:after="0" w:line="240" w:lineRule="auto"/>
        <w:jc w:val="center"/>
        <w:textAlignment w:val="baseline"/>
        <w:rPr>
          <w:sz w:val="20"/>
        </w:rPr>
      </w:pPr>
      <w:r>
        <w:t> </w:t>
      </w:r>
    </w:p>
    <w:p w14:paraId="374A9185" w14:textId="64A4710D" w:rsidR="00897082" w:rsidRDefault="00BE6AE5">
      <w:pPr>
        <w:pStyle w:val="P68B1DB1-Akapitzlist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The standard for writing engineering</w:t>
      </w:r>
      <w:r w:rsidR="00452129">
        <w:t xml:space="preserve"> theses</w:t>
      </w:r>
      <w:r>
        <w:t xml:space="preserve"> is</w:t>
      </w:r>
      <w:r w:rsidR="00452129">
        <w:t xml:space="preserve"> introduced as part of the Principles of</w:t>
      </w:r>
      <w:r>
        <w:t xml:space="preserve"> </w:t>
      </w:r>
      <w:r w:rsidR="00452129">
        <w:t>Thesis Writing</w:t>
      </w:r>
      <w:r>
        <w:t>, which</w:t>
      </w:r>
      <w:r w:rsidR="00452129">
        <w:t xml:space="preserve"> is an annex to the University</w:t>
      </w:r>
      <w:r>
        <w:t xml:space="preserve"> Internal Quality Assurance System containing detailed guidelines on how to </w:t>
      </w:r>
      <w:r w:rsidR="00452129">
        <w:t>write engineering these</w:t>
      </w:r>
      <w:r>
        <w:t>s. </w:t>
      </w:r>
    </w:p>
    <w:p w14:paraId="42BD6439" w14:textId="77777777" w:rsidR="00897082" w:rsidRDefault="00897082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76BAAE6D" w14:textId="64AD7DDC" w:rsidR="00897082" w:rsidRDefault="00F004C3">
      <w:pPr>
        <w:pStyle w:val="P68B1DB1-Akapitzlist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University</w:t>
      </w:r>
      <w:r w:rsidR="00BE6AE5">
        <w:t xml:space="preserve"> teachers </w:t>
      </w:r>
      <w:r>
        <w:t>who conduct degree</w:t>
      </w:r>
      <w:r w:rsidR="00BE6AE5">
        <w:t xml:space="preserve"> seminars and </w:t>
      </w:r>
      <w:r>
        <w:t>theses</w:t>
      </w:r>
      <w:r w:rsidR="00BE6AE5">
        <w:t xml:space="preserve"> in fields of study assigned to scientific disciplines in the field of engineering and technical scien</w:t>
      </w:r>
      <w:r>
        <w:t>ces and ending with the award</w:t>
      </w:r>
      <w:r w:rsidR="00BE6AE5">
        <w:t xml:space="preserve"> of the </w:t>
      </w:r>
      <w:r>
        <w:t>Bachelor of E</w:t>
      </w:r>
      <w:r w:rsidR="00BE6AE5">
        <w:t>ngineer</w:t>
      </w:r>
      <w:r>
        <w:t>ing degree or M</w:t>
      </w:r>
      <w:r w:rsidR="00BE6AE5">
        <w:t xml:space="preserve">aster </w:t>
      </w:r>
      <w:r>
        <w:t>of E</w:t>
      </w:r>
      <w:r w:rsidR="00BE6AE5">
        <w:t>ngineer</w:t>
      </w:r>
      <w:r>
        <w:t>ing degree</w:t>
      </w:r>
      <w:r w:rsidR="00BE6AE5">
        <w:t xml:space="preserve"> are obliged to familiarize themselves with </w:t>
      </w:r>
      <w:r>
        <w:t>and apply the standard</w:t>
      </w:r>
      <w:r w:rsidR="00BE6AE5">
        <w:t xml:space="preserve">. It obliges </w:t>
      </w:r>
      <w:r>
        <w:t>supervisors</w:t>
      </w:r>
      <w:r w:rsidR="00BE6AE5">
        <w:t xml:space="preserve"> to familiarize students with the r</w:t>
      </w:r>
      <w:r>
        <w:t>equirements for engineering theses</w:t>
      </w:r>
      <w:r w:rsidR="00BE6AE5">
        <w:t>.</w:t>
      </w:r>
    </w:p>
    <w:p w14:paraId="72C295FD" w14:textId="77777777" w:rsidR="00897082" w:rsidRDefault="00897082">
      <w:pPr>
        <w:shd w:val="clear" w:color="auto" w:fill="FFFFFF"/>
        <w:spacing w:after="0" w:line="240" w:lineRule="auto"/>
        <w:ind w:firstLine="60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2E00F7A2" w14:textId="383F3876" w:rsidR="00897082" w:rsidRDefault="00BE6AE5">
      <w:pPr>
        <w:pStyle w:val="P68B1DB1-Akapitzlist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It obliges the heads of departments r</w:t>
      </w:r>
      <w:r w:rsidR="00DD7FDA">
        <w:t>esponsible for a given field</w:t>
      </w:r>
      <w:r>
        <w:t xml:space="preserve"> to supervise the proper implementation of the assumptions of the above-mentioned standard, to periodically a</w:t>
      </w:r>
      <w:r w:rsidR="00DD7FDA">
        <w:t>nd regularly train all supervisors of engineering theses</w:t>
      </w:r>
      <w:r>
        <w:t xml:space="preserve"> in the areas covered by the standard and to conduct periodic audits monitoring compliance with the standard and the quality of theses.</w:t>
      </w:r>
    </w:p>
    <w:p w14:paraId="7628CAE7" w14:textId="77777777" w:rsidR="00897082" w:rsidRDefault="00897082">
      <w:pPr>
        <w:pStyle w:val="Akapitzlist"/>
        <w:rPr>
          <w:rFonts w:ascii="Times New Roman" w:eastAsia="Times New Roman" w:hAnsi="Times New Roman" w:cs="Times New Roman"/>
          <w:sz w:val="20"/>
        </w:rPr>
      </w:pPr>
    </w:p>
    <w:p w14:paraId="15FD03F2" w14:textId="77777777" w:rsidR="00897082" w:rsidRDefault="00897082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268D107D" w14:textId="38D2F092" w:rsidR="00897082" w:rsidRDefault="00DD7FDA">
      <w:pPr>
        <w:pStyle w:val="P68B1DB1-Akapitzlist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The Principles of Thesis W</w:t>
      </w:r>
      <w:r w:rsidR="00BE6AE5">
        <w:t>riting</w:t>
      </w:r>
      <w:r w:rsidR="002F55E0">
        <w:t>,</w:t>
      </w:r>
      <w:r w:rsidR="00BE6AE5">
        <w:t xml:space="preserve"> </w:t>
      </w:r>
      <w:r>
        <w:t>which contain</w:t>
      </w:r>
      <w:r w:rsidR="00BE6AE5">
        <w:t xml:space="preserve"> the standard for writing engineering </w:t>
      </w:r>
      <w:r>
        <w:t>theses</w:t>
      </w:r>
      <w:r w:rsidR="002F55E0">
        <w:t>,</w:t>
      </w:r>
      <w:bookmarkStart w:id="0" w:name="_GoBack"/>
      <w:bookmarkEnd w:id="0"/>
      <w:r>
        <w:t xml:space="preserve"> are attached hereto</w:t>
      </w:r>
      <w:r w:rsidR="00BE6AE5">
        <w:t>. </w:t>
      </w:r>
    </w:p>
    <w:p w14:paraId="0CBE6062" w14:textId="77777777" w:rsidR="00897082" w:rsidRDefault="00897082">
      <w:pPr>
        <w:shd w:val="clear" w:color="auto" w:fill="FFFFFF"/>
        <w:spacing w:after="0" w:line="240" w:lineRule="auto"/>
        <w:ind w:firstLine="60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7E844253" w14:textId="77777777" w:rsidR="00897082" w:rsidRDefault="00BE6AE5">
      <w:pPr>
        <w:pStyle w:val="P68B1DB1-Normalny5"/>
        <w:shd w:val="clear" w:color="auto" w:fill="FFFFFF"/>
        <w:spacing w:after="0" w:line="240" w:lineRule="auto"/>
        <w:textAlignment w:val="baseline"/>
      </w:pPr>
      <w:r>
        <w:t> </w:t>
      </w:r>
    </w:p>
    <w:p w14:paraId="32F1693B" w14:textId="426C6AC6" w:rsidR="00897082" w:rsidRDefault="00DD7FDA">
      <w:pPr>
        <w:pStyle w:val="P68B1DB1-Normalny5"/>
        <w:shd w:val="clear" w:color="auto" w:fill="FFFFFF"/>
        <w:spacing w:after="0" w:line="240" w:lineRule="auto"/>
        <w:jc w:val="center"/>
        <w:textAlignment w:val="baseline"/>
      </w:pPr>
      <w:r w:rsidRPr="00844251">
        <w:rPr>
          <w:szCs w:val="24"/>
        </w:rPr>
        <w:t>§</w:t>
      </w:r>
      <w:r w:rsidR="00BE6AE5">
        <w:t xml:space="preserve"> 2 </w:t>
      </w:r>
    </w:p>
    <w:p w14:paraId="64CB0F1F" w14:textId="77777777" w:rsidR="00897082" w:rsidRDefault="008970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725ED8AB" w14:textId="408454C6" w:rsidR="00897082" w:rsidRDefault="00DD7FDA">
      <w:pPr>
        <w:pStyle w:val="P68B1DB1-Normalny5"/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 xml:space="preserve">The Ordinance </w:t>
      </w:r>
      <w:r w:rsidR="00BE6AE5">
        <w:t>enters into force on 26 February 2022.  </w:t>
      </w:r>
    </w:p>
    <w:p w14:paraId="3BAB08F7" w14:textId="77777777" w:rsidR="00897082" w:rsidRDefault="00BE6AE5">
      <w:pPr>
        <w:pStyle w:val="P68B1DB1-Normalny5"/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 </w:t>
      </w:r>
    </w:p>
    <w:p w14:paraId="2B83B47D" w14:textId="77777777" w:rsidR="00897082" w:rsidRDefault="00BE6AE5">
      <w:pPr>
        <w:pStyle w:val="P68B1DB1-Normalny5"/>
        <w:shd w:val="clear" w:color="auto" w:fill="FFFFFF"/>
        <w:spacing w:after="0" w:line="240" w:lineRule="auto"/>
        <w:jc w:val="both"/>
        <w:textAlignment w:val="baseline"/>
        <w:rPr>
          <w:sz w:val="20"/>
        </w:rPr>
      </w:pPr>
      <w:r>
        <w:t> </w:t>
      </w:r>
    </w:p>
    <w:p w14:paraId="76AFE132" w14:textId="50DE32C4" w:rsidR="00897082" w:rsidRPr="00DD7FDA" w:rsidRDefault="00BE6AE5">
      <w:pPr>
        <w:pStyle w:val="P68B1DB1-Normalny5"/>
        <w:shd w:val="clear" w:color="auto" w:fill="FFFFFF"/>
        <w:spacing w:after="0" w:line="240" w:lineRule="auto"/>
        <w:jc w:val="both"/>
        <w:textAlignment w:val="baseline"/>
      </w:pPr>
      <w:r>
        <w:t>                                                                                 </w:t>
      </w:r>
      <w:r w:rsidR="00DD7FDA" w:rsidRPr="00DD7FDA">
        <w:t>Chairperson</w:t>
      </w:r>
      <w:r w:rsidRPr="00DD7FDA">
        <w:t xml:space="preserve"> of </w:t>
      </w:r>
      <w:r w:rsidR="00DD7FDA" w:rsidRPr="00DD7FDA">
        <w:t>the WSB University</w:t>
      </w:r>
      <w:r w:rsidRPr="00DD7FDA">
        <w:t xml:space="preserve"> Senate </w:t>
      </w:r>
    </w:p>
    <w:p w14:paraId="4AF51C85" w14:textId="77777777" w:rsidR="00897082" w:rsidRPr="00DD7FDA" w:rsidRDefault="008970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545F276F" w14:textId="45F3D1BB" w:rsidR="00897082" w:rsidRDefault="00DD7FDA">
      <w:pPr>
        <w:pStyle w:val="P68B1DB1-Normalny5"/>
        <w:shd w:val="clear" w:color="auto" w:fill="FFFFFF"/>
        <w:spacing w:after="0" w:line="240" w:lineRule="auto"/>
        <w:ind w:left="5421" w:firstLine="708"/>
        <w:textAlignment w:val="baseline"/>
        <w:rPr>
          <w:sz w:val="20"/>
        </w:rPr>
      </w:pPr>
      <w:r w:rsidRPr="00DD7FDA">
        <w:t>R E C</w:t>
      </w:r>
      <w:r w:rsidR="00BE6AE5" w:rsidRPr="00DD7FDA">
        <w:t xml:space="preserve"> T O R</w:t>
      </w:r>
      <w:r w:rsidR="00BE6AE5">
        <w:t> </w:t>
      </w:r>
    </w:p>
    <w:p w14:paraId="6178B94B" w14:textId="77777777" w:rsidR="00897082" w:rsidRDefault="00897082">
      <w:pPr>
        <w:rPr>
          <w:rFonts w:ascii="Times New Roman" w:hAnsi="Times New Roman" w:cs="Times New Roman"/>
        </w:rPr>
      </w:pPr>
    </w:p>
    <w:sectPr w:rsidR="0089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0511"/>
    <w:multiLevelType w:val="hybridMultilevel"/>
    <w:tmpl w:val="F3B6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51"/>
    <w:rsid w:val="00105E49"/>
    <w:rsid w:val="002F55E0"/>
    <w:rsid w:val="00452129"/>
    <w:rsid w:val="00844251"/>
    <w:rsid w:val="00897082"/>
    <w:rsid w:val="00BE2D74"/>
    <w:rsid w:val="00BE6AE5"/>
    <w:rsid w:val="00DD7FDA"/>
    <w:rsid w:val="00F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890"/>
  <w15:chartTrackingRefBased/>
  <w15:docId w15:val="{A667BC7B-ED36-453C-A973-19747A84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xms-button-flexcontainer">
    <w:name w:val="x_ms-button-flexcontainer"/>
    <w:basedOn w:val="Domylnaczcionkaakapitu"/>
    <w:rsid w:val="00844251"/>
  </w:style>
  <w:style w:type="paragraph" w:styleId="Akapitzlist">
    <w:name w:val="List Paragraph"/>
    <w:basedOn w:val="Normalny"/>
    <w:uiPriority w:val="34"/>
    <w:qFormat/>
    <w:rsid w:val="008442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251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25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251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25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25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51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51"/>
    <w:rPr>
      <w:rFonts w:ascii="Segoe UI" w:hAnsi="Segoe UI" w:cs="Segoe UI"/>
      <w:sz w:val="18"/>
    </w:rPr>
  </w:style>
  <w:style w:type="paragraph" w:customStyle="1" w:styleId="P68B1DB1-Normalny1">
    <w:name w:val="P68B1DB1-Normalny1"/>
    <w:basedOn w:val="Normalny"/>
    <w:rPr>
      <w:rFonts w:ascii="Times New Roman" w:eastAsia="Times New Roman" w:hAnsi="Times New Roman" w:cs="Times New Roman"/>
      <w:b/>
      <w:color w:val="000000"/>
      <w:sz w:val="24"/>
      <w:bdr w:val="none" w:sz="0" w:space="0" w:color="auto" w:frame="1"/>
    </w:rPr>
  </w:style>
  <w:style w:type="paragraph" w:customStyle="1" w:styleId="P68B1DB1-Normalny2">
    <w:name w:val="P68B1DB1-Normalny2"/>
    <w:basedOn w:val="Normalny"/>
    <w:rPr>
      <w:rFonts w:ascii="Times New Roman" w:eastAsia="Times New Roman" w:hAnsi="Times New Roman" w:cs="Times New Roman"/>
      <w:b/>
      <w:sz w:val="24"/>
      <w:bdr w:val="none" w:sz="0" w:space="0" w:color="auto" w:frame="1"/>
    </w:rPr>
  </w:style>
  <w:style w:type="paragraph" w:customStyle="1" w:styleId="P68B1DB1-Normalny3">
    <w:name w:val="P68B1DB1-Normalny3"/>
    <w:basedOn w:val="Normalny"/>
    <w:rPr>
      <w:rFonts w:ascii="Times New Roman" w:eastAsia="Times New Roman" w:hAnsi="Times New Roman" w:cs="Times New Roman"/>
      <w:color w:val="000000"/>
      <w:sz w:val="24"/>
      <w:bdr w:val="none" w:sz="0" w:space="0" w:color="auto" w:frame="1"/>
    </w:rPr>
  </w:style>
  <w:style w:type="paragraph" w:customStyle="1" w:styleId="P68B1DB1-Normalny4">
    <w:name w:val="P68B1DB1-Normalny4"/>
    <w:basedOn w:val="Normalny"/>
    <w:rPr>
      <w:rFonts w:ascii="Times New Roman" w:hAnsi="Times New Roman"/>
      <w:sz w:val="24"/>
    </w:rPr>
  </w:style>
  <w:style w:type="paragraph" w:customStyle="1" w:styleId="P68B1DB1-Normalny5">
    <w:name w:val="P68B1DB1-Normalny5"/>
    <w:basedOn w:val="Normalny"/>
    <w:rPr>
      <w:rFonts w:ascii="Times New Roman" w:eastAsia="Times New Roman" w:hAnsi="Times New Roman" w:cs="Times New Roman"/>
      <w:sz w:val="24"/>
      <w:bdr w:val="none" w:sz="0" w:space="0" w:color="auto" w:frame="1"/>
    </w:rPr>
  </w:style>
  <w:style w:type="paragraph" w:customStyle="1" w:styleId="P68B1DB1-Akapitzlist6">
    <w:name w:val="P68B1DB1-Akapitzlist6"/>
    <w:basedOn w:val="Akapitzlist"/>
    <w:rPr>
      <w:rFonts w:ascii="Times New Roman" w:eastAsia="Times New Roman" w:hAnsi="Times New Roman" w:cs="Times New Roman"/>
      <w:sz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85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5771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774407419A49952DD961CF806EDF" ma:contentTypeVersion="16" ma:contentTypeDescription="Utwórz nowy dokument." ma:contentTypeScope="" ma:versionID="7ab0a83c2546d87ea02f831aee1b0033">
  <xsd:schema xmlns:xsd="http://www.w3.org/2001/XMLSchema" xmlns:xs="http://www.w3.org/2001/XMLSchema" xmlns:p="http://schemas.microsoft.com/office/2006/metadata/properties" xmlns:ns1="http://schemas.microsoft.com/sharepoint/v3" xmlns:ns3="2d7262c5-5da8-4147-8c17-750d1b710fb4" xmlns:ns4="2f760af7-e69b-4021-a819-d818529ef166" targetNamespace="http://schemas.microsoft.com/office/2006/metadata/properties" ma:root="true" ma:fieldsID="84c389fcbb27c235e3369991186e7bcc" ns1:_="" ns3:_="" ns4:_="">
    <xsd:import namespace="http://schemas.microsoft.com/sharepoint/v3"/>
    <xsd:import namespace="2d7262c5-5da8-4147-8c17-750d1b710fb4"/>
    <xsd:import namespace="2f760af7-e69b-4021-a819-d818529ef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262c5-5da8-4147-8c17-750d1b71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0af7-e69b-4021-a819-d818529ef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2E557-D651-4A5A-A5A7-763AEE72A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28C9BD-7812-4484-A9AF-2BA90353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262c5-5da8-4147-8c17-750d1b710fb4"/>
    <ds:schemaRef ds:uri="2f760af7-e69b-4021-a819-d818529ef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96EC1-5E08-4F1C-AB4C-9F65D7B0F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dc:description/>
  <cp:lastModifiedBy>Basia</cp:lastModifiedBy>
  <cp:revision>5</cp:revision>
  <dcterms:created xsi:type="dcterms:W3CDTF">2024-10-17T18:15:00Z</dcterms:created>
  <dcterms:modified xsi:type="dcterms:W3CDTF">2024-10-23T16:32:00Z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0x0101004318774407419A49952DD961CF806EDF</vt:lpwstr>
  </property>
</Properties>
</file>