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14BA00F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B0B6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3B92477A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3D28C1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3D28C1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28C1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3D28C1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12C9A274" w:rsidR="00BC7549" w:rsidRPr="003D28C1" w:rsidRDefault="003D28C1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28C1"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 w:rsidRPr="003D28C1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00C41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B00C4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7777777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2EF" w14:textId="77777777" w:rsidR="003D28C1" w:rsidRPr="003D28C1" w:rsidRDefault="003D28C1" w:rsidP="003D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basic institutions of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law, in particular those regulating the establishment, duration and termination of employment relationships, types of employment contracts, their characteristics, the scope of obligations of employers and employees, leave, and remuneration for work.</w:t>
            </w:r>
          </w:p>
          <w:p w14:paraId="47C8C45E" w14:textId="77777777" w:rsidR="003D28C1" w:rsidRPr="003D28C1" w:rsidRDefault="003D28C1" w:rsidP="003D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It is assumed that after completing the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Law course, students will understand </w:t>
            </w:r>
          </w:p>
          <w:p w14:paraId="7C22372A" w14:textId="77777777" w:rsidR="003D28C1" w:rsidRPr="003D28C1" w:rsidRDefault="003D28C1" w:rsidP="003D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basic concepts of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law and the issues of employment policy </w:t>
            </w:r>
          </w:p>
          <w:p w14:paraId="681216F7" w14:textId="616A6DE8" w:rsidR="00BC7549" w:rsidRPr="00456B3A" w:rsidRDefault="003D28C1" w:rsidP="003D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in the Republic of Poland. After completing the course, students will be able to use basic theoretical and practical knowledge to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analyse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and solve basic problems in the field of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law. 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Method of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verifying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the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3D28C1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424A2D2A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747AA">
              <w:rPr>
                <w:rFonts w:ascii="Arial Narrow" w:hAnsi="Arial Narrow"/>
                <w:sz w:val="20"/>
                <w:szCs w:val="20"/>
              </w:rPr>
              <w:t>K_W14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1411485C" w:rsidR="003D28C1" w:rsidRPr="00304EF9" w:rsidRDefault="003D28C1" w:rsidP="003D28C1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A747AA"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757999CE" w:rsidR="003D28C1" w:rsidRPr="001A176B" w:rsidRDefault="003D28C1" w:rsidP="003D28C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of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law and selected statutes.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B88" w14:textId="77CCCD95" w:rsidR="003D28C1" w:rsidRPr="00E528A2" w:rsidRDefault="003D28C1" w:rsidP="003D28C1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D28C1">
              <w:rPr>
                <w:rFonts w:ascii="Arial Narrow" w:hAnsi="Arial Narrow"/>
                <w:bCs/>
                <w:sz w:val="20"/>
                <w:szCs w:val="20"/>
              </w:rPr>
              <w:t>Final</w:t>
            </w:r>
            <w:proofErr w:type="spellEnd"/>
            <w:r w:rsidRPr="003D28C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3D28C1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67B83DBA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2224F1EC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657B46DD" w:rsidR="003D28C1" w:rsidRPr="003D28C1" w:rsidRDefault="003D28C1" w:rsidP="003D28C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D28C1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apply </w:t>
            </w:r>
            <w:proofErr w:type="spellStart"/>
            <w:r w:rsidRPr="003D28C1">
              <w:rPr>
                <w:rFonts w:ascii="Arial Narrow" w:hAnsi="Arial Narrow"/>
                <w:sz w:val="20"/>
                <w:szCs w:val="20"/>
                <w:lang w:val="en-US"/>
              </w:rPr>
              <w:t>labour</w:t>
            </w:r>
            <w:proofErr w:type="spellEnd"/>
            <w:r w:rsidRPr="003D28C1">
              <w:rPr>
                <w:rFonts w:ascii="Arial Narrow" w:hAnsi="Arial Narrow"/>
                <w:sz w:val="20"/>
                <w:szCs w:val="20"/>
                <w:lang w:val="en-US"/>
              </w:rPr>
              <w:t xml:space="preserve"> law provisions in practice.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425" w14:textId="149284C9" w:rsidR="003D28C1" w:rsidRPr="00CE5E35" w:rsidRDefault="003D28C1" w:rsidP="003D28C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</w:tc>
      </w:tr>
      <w:tr w:rsidR="003D28C1" w:rsidRPr="00CE5E35" w14:paraId="37B94575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7E61AD0B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043875B0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0D2CB7B4" w:rsidR="003D28C1" w:rsidRPr="002C2FC0" w:rsidRDefault="003D28C1" w:rsidP="003D28C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correctly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interpret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law.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36234D44" w:rsidR="003D28C1" w:rsidRPr="00CE5E35" w:rsidRDefault="003D28C1" w:rsidP="003D28C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Final examination.</w:t>
            </w:r>
          </w:p>
        </w:tc>
      </w:tr>
      <w:tr w:rsidR="003D28C1" w:rsidRPr="00CE5E35" w14:paraId="2C7326D6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9A1" w14:textId="77777777" w:rsidR="003D28C1" w:rsidRDefault="003D28C1" w:rsidP="003D28C1">
            <w:pPr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K_U05</w:t>
            </w:r>
          </w:p>
          <w:p w14:paraId="59AA7776" w14:textId="0D378ACE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K_U0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26D4C5D9" w:rsidR="003D28C1" w:rsidRPr="00304EF9" w:rsidRDefault="003D28C1" w:rsidP="003D28C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1CA2B335" w:rsidR="003D28C1" w:rsidRPr="002C2FC0" w:rsidRDefault="003D28C1" w:rsidP="003D28C1">
            <w:pPr>
              <w:tabs>
                <w:tab w:val="left" w:pos="2316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independently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propose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solution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(and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implement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) to a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problem in the field of </w:t>
            </w:r>
            <w:proofErr w:type="spellStart"/>
            <w:r w:rsidRPr="003D28C1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3D28C1">
              <w:rPr>
                <w:rFonts w:ascii="Arial Narrow" w:hAnsi="Arial Narrow" w:cs="Arial"/>
                <w:sz w:val="20"/>
                <w:szCs w:val="20"/>
              </w:rPr>
              <w:t xml:space="preserve"> law.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2EDEAFB" w:rsidR="003D28C1" w:rsidRPr="00CE5E35" w:rsidRDefault="003D28C1" w:rsidP="003D28C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Final examination.</w:t>
            </w: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730FF9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36D1837E" w:rsidR="00730FF9" w:rsidRPr="00730FF9" w:rsidRDefault="00730FF9" w:rsidP="00730FF9">
            <w:pPr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K_K0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BF" w14:textId="2F08B8A5" w:rsidR="00730FF9" w:rsidRPr="00304EF9" w:rsidRDefault="00730FF9" w:rsidP="00730FF9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P6S_K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6C01DDC8" w:rsidR="00730FF9" w:rsidRPr="002C2FC0" w:rsidRDefault="00730FF9" w:rsidP="00730FF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take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action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in the public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interest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recognising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 for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businesses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society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09499DFE" w:rsidR="00730FF9" w:rsidRPr="00CE5E35" w:rsidRDefault="00730FF9" w:rsidP="00730FF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</w:tc>
      </w:tr>
      <w:tr w:rsidR="00730FF9" w:rsidRPr="00CE5E35" w14:paraId="2DFC2885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ED0" w14:textId="27F2E7E3" w:rsidR="00730FF9" w:rsidRPr="00730FF9" w:rsidRDefault="00730FF9" w:rsidP="00730FF9">
            <w:pPr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K_K0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FE5" w14:textId="6DD63941" w:rsidR="00730FF9" w:rsidRPr="00304EF9" w:rsidRDefault="00730FF9" w:rsidP="00730FF9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P6S_K</w:t>
            </w: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855" w14:textId="4CFDF489" w:rsidR="00730FF9" w:rsidRPr="002C2FC0" w:rsidRDefault="00730FF9" w:rsidP="00730FF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aware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violating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order.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D55" w14:textId="3B2EC24D" w:rsidR="00730FF9" w:rsidRPr="00CE5E35" w:rsidRDefault="00730FF9" w:rsidP="00730FF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attendance at lectures =</w:t>
            </w:r>
          </w:p>
          <w:p w14:paraId="69013167" w14:textId="0C5AAF91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730F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6DD12012" w14:textId="4F90A79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730F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36C615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730F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 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46C208C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730F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3F73DED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730F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2868FFBB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730FF9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</w:t>
            </w:r>
          </w:p>
          <w:p w14:paraId="75F06957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including practical classes: 2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lastRenderedPageBreak/>
              <w:t>Part-time studies:</w:t>
            </w:r>
          </w:p>
          <w:p w14:paraId="52B78B9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attendance at lectures =</w:t>
            </w:r>
          </w:p>
          <w:p w14:paraId="6672F2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5C635689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05390C80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5F276420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2749A6E1" w:rsidR="00BC7549" w:rsidRPr="00A81688" w:rsidRDefault="00730FF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a course in the fundamentals of law.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023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00093CD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I.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law:</w:t>
            </w:r>
          </w:p>
          <w:p w14:paraId="2132E515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Definition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388B26A7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matter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4D56AE35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1166036B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4)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119DE362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II.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7128F353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4B0BB75B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General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1B85EFCF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7C4D9231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4)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</w:p>
          <w:p w14:paraId="46EE5245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5)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Statutes</w:t>
            </w:r>
            <w:proofErr w:type="spellEnd"/>
          </w:p>
          <w:p w14:paraId="3FD6ED45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6)    International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33593F7E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III.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relationship</w:t>
            </w:r>
            <w:proofErr w:type="spellEnd"/>
          </w:p>
          <w:p w14:paraId="01E58CEF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nature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relationship</w:t>
            </w:r>
            <w:proofErr w:type="spellEnd"/>
          </w:p>
          <w:p w14:paraId="5E5C5D3A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Parties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relationship</w:t>
            </w:r>
            <w:proofErr w:type="spellEnd"/>
          </w:p>
          <w:p w14:paraId="187160F4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</w:p>
          <w:p w14:paraId="50A123D1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IV.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</w:p>
          <w:p w14:paraId="50E7E516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Types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contracts</w:t>
            </w:r>
            <w:proofErr w:type="spellEnd"/>
          </w:p>
          <w:p w14:paraId="6B4C66DD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>2)</w:t>
            </w:r>
            <w:r w:rsidRPr="00730FF9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Contents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</w:p>
          <w:p w14:paraId="6D131F5F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   Remote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</w:p>
          <w:p w14:paraId="11A77FB8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V.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Termination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relationship</w:t>
            </w:r>
            <w:proofErr w:type="spellEnd"/>
          </w:p>
          <w:p w14:paraId="61DB613A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Agreement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parties</w:t>
            </w:r>
            <w:proofErr w:type="spellEnd"/>
          </w:p>
          <w:p w14:paraId="382DCE6E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Restrictions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admissibility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termination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</w:p>
          <w:p w14:paraId="50551C10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Termination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notice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C22844D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4)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Termination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notice</w:t>
            </w:r>
            <w:proofErr w:type="spellEnd"/>
          </w:p>
          <w:p w14:paraId="033A6CCC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5)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Defective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termination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consequences</w:t>
            </w:r>
            <w:proofErr w:type="spellEnd"/>
          </w:p>
          <w:p w14:paraId="736C7418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>6)</w:t>
            </w:r>
            <w:r w:rsidRPr="00730FF9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Expiry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</w:t>
            </w:r>
            <w:proofErr w:type="spellEnd"/>
          </w:p>
          <w:p w14:paraId="22AEC072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VI.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Remuneration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</w:p>
          <w:p w14:paraId="2519AC68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remuneration</w:t>
            </w:r>
            <w:proofErr w:type="spellEnd"/>
          </w:p>
          <w:p w14:paraId="64F7E733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remuneration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</w:p>
          <w:p w14:paraId="156D6C11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VII.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time</w:t>
            </w:r>
            <w:proofErr w:type="spellEnd"/>
          </w:p>
          <w:p w14:paraId="21D7882B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time</w:t>
            </w:r>
            <w:proofErr w:type="spellEnd"/>
          </w:p>
          <w:p w14:paraId="648F91BE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time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</w:p>
          <w:p w14:paraId="72D701BC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Night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Sundays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and public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holidays</w:t>
            </w:r>
            <w:proofErr w:type="spellEnd"/>
          </w:p>
          <w:p w14:paraId="3D6A6FB9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>VIII.</w:t>
            </w:r>
            <w:r w:rsidRPr="00730FF9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leave</w:t>
            </w:r>
            <w:proofErr w:type="spellEnd"/>
          </w:p>
          <w:p w14:paraId="374CF1BC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1)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Annual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leave</w:t>
            </w:r>
            <w:proofErr w:type="spellEnd"/>
          </w:p>
          <w:p w14:paraId="1DE297DC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Unpaid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leave</w:t>
            </w:r>
            <w:proofErr w:type="spellEnd"/>
          </w:p>
          <w:p w14:paraId="18E88F3E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3)    Special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leave</w:t>
            </w:r>
            <w:proofErr w:type="spellEnd"/>
          </w:p>
          <w:p w14:paraId="2CCBF978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>4)</w:t>
            </w:r>
            <w:r w:rsidRPr="00730FF9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Care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leave</w:t>
            </w:r>
            <w:proofErr w:type="spellEnd"/>
          </w:p>
          <w:p w14:paraId="282E300F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IX.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</w:p>
          <w:p w14:paraId="0EF68386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Order and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discipline</w:t>
            </w:r>
            <w:proofErr w:type="spellEnd"/>
          </w:p>
          <w:p w14:paraId="22205784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</w:p>
          <w:p w14:paraId="4DCA2065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X.    General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</w:p>
          <w:p w14:paraId="5E499A6E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1)    Basic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obligations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</w:p>
          <w:p w14:paraId="48B662B3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2)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obligations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employees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7F546B8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XI.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Collective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 </w:t>
            </w:r>
          </w:p>
          <w:p w14:paraId="4936F806" w14:textId="37A6C494" w:rsidR="00BC7549" w:rsidRPr="00AA0536" w:rsidRDefault="00730FF9" w:rsidP="00730FF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XII.   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Procedural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39F" w14:textId="77777777" w:rsidR="00730FF9" w:rsidRPr="00E81B3F" w:rsidRDefault="00730FF9" w:rsidP="00730FF9">
            <w:pPr>
              <w:numPr>
                <w:ilvl w:val="0"/>
                <w:numId w:val="1"/>
              </w:numPr>
              <w:spacing w:after="0" w:line="240" w:lineRule="auto"/>
            </w:pPr>
            <w:r w:rsidRPr="00E81B3F">
              <w:rPr>
                <w:rFonts w:ascii="Arial Narrow" w:hAnsi="Arial Narrow"/>
                <w:bCs/>
                <w:sz w:val="20"/>
                <w:szCs w:val="20"/>
              </w:rPr>
              <w:t xml:space="preserve">Ludwik Florek, Łukasz Pisarczyk – </w:t>
            </w:r>
            <w:r w:rsidRPr="00E81B3F">
              <w:rPr>
                <w:rFonts w:ascii="Arial Narrow" w:hAnsi="Arial Narrow"/>
                <w:i/>
                <w:iCs/>
                <w:sz w:val="20"/>
                <w:szCs w:val="20"/>
              </w:rPr>
              <w:t>Prawo pracy</w:t>
            </w:r>
            <w:r w:rsidRPr="00E81B3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1B3F">
              <w:rPr>
                <w:rFonts w:ascii="Arial Narrow" w:hAnsi="Arial Narrow"/>
                <w:i/>
                <w:iCs/>
                <w:sz w:val="20"/>
                <w:szCs w:val="20"/>
              </w:rPr>
              <w:t>C.H. Beck</w:t>
            </w:r>
            <w:r w:rsidRPr="00E81B3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1B3F">
              <w:rPr>
                <w:rFonts w:ascii="Arial Narrow" w:hAnsi="Arial Narrow"/>
                <w:bCs/>
                <w:sz w:val="20"/>
                <w:szCs w:val="20"/>
              </w:rPr>
              <w:t>2021</w:t>
            </w:r>
          </w:p>
          <w:p w14:paraId="7C98949F" w14:textId="77777777" w:rsidR="00730FF9" w:rsidRDefault="00730FF9" w:rsidP="00730FF9">
            <w:pPr>
              <w:numPr>
                <w:ilvl w:val="0"/>
                <w:numId w:val="1"/>
              </w:numPr>
              <w:spacing w:after="0" w:line="240" w:lineRule="auto"/>
            </w:pPr>
            <w:r w:rsidRPr="00E81B3F">
              <w:rPr>
                <w:rFonts w:ascii="Arial Narrow" w:hAnsi="Arial Narrow"/>
                <w:bCs/>
                <w:sz w:val="20"/>
                <w:szCs w:val="20"/>
              </w:rPr>
              <w:t xml:space="preserve">Małgorzata </w:t>
            </w:r>
            <w:proofErr w:type="spellStart"/>
            <w:r w:rsidRPr="00E81B3F">
              <w:rPr>
                <w:rFonts w:ascii="Arial Narrow" w:hAnsi="Arial Narrow"/>
                <w:bCs/>
                <w:sz w:val="20"/>
                <w:szCs w:val="20"/>
              </w:rPr>
              <w:t>Barzycka-Banaszczyk</w:t>
            </w:r>
            <w:proofErr w:type="spellEnd"/>
            <w:r w:rsidRPr="00E81B3F">
              <w:rPr>
                <w:rFonts w:ascii="Arial Narrow" w:hAnsi="Arial Narrow"/>
                <w:bCs/>
                <w:sz w:val="20"/>
                <w:szCs w:val="20"/>
              </w:rPr>
              <w:t xml:space="preserve"> –</w:t>
            </w:r>
            <w:r w:rsidRPr="00E81B3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E81B3F">
              <w:rPr>
                <w:rFonts w:ascii="Arial Narrow" w:hAnsi="Arial Narrow"/>
                <w:i/>
                <w:iCs/>
                <w:sz w:val="20"/>
                <w:szCs w:val="20"/>
              </w:rPr>
              <w:t>Prawo pracy. Kompendium z testami</w:t>
            </w:r>
            <w:r w:rsidRPr="00E81B3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1B3F">
              <w:rPr>
                <w:rFonts w:ascii="Arial Narrow" w:hAnsi="Arial Narrow"/>
                <w:i/>
                <w:iCs/>
                <w:sz w:val="20"/>
                <w:szCs w:val="20"/>
              </w:rPr>
              <w:t>C.H. Beck</w:t>
            </w:r>
            <w:r w:rsidRPr="00E81B3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1B3F">
              <w:rPr>
                <w:rFonts w:ascii="Arial Narrow" w:hAnsi="Arial Narrow"/>
                <w:bCs/>
                <w:sz w:val="20"/>
                <w:szCs w:val="20"/>
              </w:rPr>
              <w:t>2023</w:t>
            </w:r>
          </w:p>
          <w:p w14:paraId="1E57D601" w14:textId="617264F9" w:rsidR="00BC7549" w:rsidRPr="00730FF9" w:rsidRDefault="00730FF9" w:rsidP="00730FF9">
            <w:pPr>
              <w:numPr>
                <w:ilvl w:val="0"/>
                <w:numId w:val="1"/>
              </w:numPr>
              <w:spacing w:after="0" w:line="240" w:lineRule="auto"/>
            </w:pPr>
            <w:r w:rsidRPr="00730FF9">
              <w:rPr>
                <w:rFonts w:ascii="Arial Narrow" w:hAnsi="Arial Narrow"/>
                <w:sz w:val="20"/>
                <w:szCs w:val="20"/>
              </w:rPr>
              <w:t>Kodeks pracy wraz z aktami wykonawczymi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37C" w14:textId="77777777" w:rsidR="00730FF9" w:rsidRPr="00A10C46" w:rsidRDefault="00730FF9" w:rsidP="00730FF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81B3F">
              <w:rPr>
                <w:rFonts w:ascii="Arial Narrow" w:hAnsi="Arial Narrow"/>
                <w:bCs/>
                <w:sz w:val="20"/>
                <w:szCs w:val="20"/>
              </w:rPr>
              <w:t xml:space="preserve">Prawo pracy – zbiór ustaw i rozporządzeń. </w:t>
            </w:r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A Collection of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Labour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Law Acts and Ordinances” (red. Nicholas Faulkner,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Blanka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Glogier-Osińska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, Justyna Sikora), C.H. Beck, 2018</w:t>
            </w:r>
          </w:p>
          <w:p w14:paraId="30F8CBB2" w14:textId="77777777" w:rsidR="00730FF9" w:rsidRPr="00A10C46" w:rsidRDefault="00730FF9" w:rsidP="00730FF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Leszek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Mitrus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&amp; Zbigniew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Hajn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Labour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Law in Poland, Kluwer Law International, 2016. </w:t>
            </w:r>
          </w:p>
          <w:p w14:paraId="4125E035" w14:textId="5E2055C0" w:rsidR="00BC7549" w:rsidRPr="00730FF9" w:rsidRDefault="00730FF9" w:rsidP="00730FF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Barbara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Józwik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>Labour</w:t>
            </w:r>
            <w:proofErr w:type="spellEnd"/>
            <w:r w:rsidRPr="00A10C46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and Employment Compliance in Poland, Kluwer Law International, 2021 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20F" w14:textId="77777777" w:rsidR="00730FF9" w:rsidRDefault="00730FF9" w:rsidP="00730FF9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Pr="005A0F86">
                <w:rPr>
                  <w:rFonts w:ascii="Arial Narrow" w:hAnsi="Arial Narrow"/>
                  <w:sz w:val="20"/>
                  <w:szCs w:val="20"/>
                </w:rPr>
                <w:t>Odpowiedzialność cywilna uczelni za szkody wyrządzone przez molestowanie seksualne pracowników lub studentów, </w:t>
              </w:r>
            </w:hyperlink>
            <w:r w:rsidRPr="005A0F86">
              <w:rPr>
                <w:rFonts w:ascii="Arial Narrow" w:hAnsi="Arial Narrow"/>
                <w:sz w:val="20"/>
                <w:szCs w:val="20"/>
              </w:rPr>
              <w:t xml:space="preserve">Wilk Anna, Forum Polityki Kryminalnej, 2023, nr vol. 2 (6), s.1-22.  </w:t>
            </w:r>
          </w:p>
          <w:p w14:paraId="66E4503F" w14:textId="22D073BB" w:rsidR="006B5A76" w:rsidRPr="00730FF9" w:rsidRDefault="00730FF9" w:rsidP="00730FF9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Pr="00730FF9">
                <w:rPr>
                  <w:rFonts w:ascii="Arial Narrow" w:hAnsi="Arial Narrow"/>
                  <w:sz w:val="20"/>
                  <w:szCs w:val="20"/>
                </w:rPr>
                <w:t>Zapewnienie bezpieczeństwa warunków pracy z perspektywy pracodawcy oraz pracownika w okresie pandemii COVID-19 </w:t>
              </w:r>
            </w:hyperlink>
            <w:r w:rsidRPr="00730FF9">
              <w:rPr>
                <w:rFonts w:ascii="Arial Narrow" w:hAnsi="Arial Narrow"/>
                <w:sz w:val="20"/>
                <w:szCs w:val="20"/>
              </w:rPr>
              <w:t>Kucharska-</w:t>
            </w:r>
            <w:proofErr w:type="spellStart"/>
            <w:r w:rsidRPr="00730FF9">
              <w:rPr>
                <w:rFonts w:ascii="Arial Narrow" w:hAnsi="Arial Narrow"/>
                <w:sz w:val="20"/>
                <w:szCs w:val="20"/>
              </w:rPr>
              <w:t>Staszel</w:t>
            </w:r>
            <w:proofErr w:type="spellEnd"/>
            <w:r w:rsidRPr="00730FF9">
              <w:rPr>
                <w:rFonts w:ascii="Arial Narrow" w:hAnsi="Arial Narrow"/>
                <w:sz w:val="20"/>
                <w:szCs w:val="20"/>
              </w:rPr>
              <w:t xml:space="preserve"> Martyna, </w:t>
            </w:r>
            <w:proofErr w:type="spellStart"/>
            <w:r w:rsidRPr="00730FF9">
              <w:rPr>
                <w:rFonts w:ascii="Arial Narrow" w:hAnsi="Arial Narrow"/>
                <w:sz w:val="20"/>
                <w:szCs w:val="20"/>
              </w:rPr>
              <w:t>Staszel</w:t>
            </w:r>
            <w:proofErr w:type="spellEnd"/>
            <w:r w:rsidRPr="00730FF9">
              <w:rPr>
                <w:rFonts w:ascii="Arial Narrow" w:hAnsi="Arial Narrow"/>
                <w:sz w:val="20"/>
                <w:szCs w:val="20"/>
              </w:rPr>
              <w:t xml:space="preserve"> Łukasz, W: Ekonomiczne skutki pandemii, 2021, Akademia WSB, s.161-172, ISBN 9788366794221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953" w14:textId="77777777" w:rsidR="00730FF9" w:rsidRPr="00730FF9" w:rsidRDefault="00730FF9" w:rsidP="00730FF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1C3C8D5A" w14:textId="18A4DE04" w:rsidR="00BC7549" w:rsidRPr="00AD1371" w:rsidRDefault="00730FF9" w:rsidP="00730FF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Lecturer's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PowerPoint,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employment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contracts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sample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30FF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30FF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0E27816C" w:rsidR="00BC7549" w:rsidRPr="00DC666F" w:rsidRDefault="00730FF9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30FF9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source texts, e-learning platform, examples from the real economy, case studies.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63376A19" w:rsidR="00BC7549" w:rsidRPr="00BD265B" w:rsidRDefault="00730FF9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  <w:bookmarkStart w:id="0" w:name="_GoBack"/>
            <w:bookmarkEnd w:id="0"/>
          </w:p>
        </w:tc>
      </w:tr>
      <w:tr w:rsidR="000F473A" w:rsidRPr="00BD265B" w14:paraId="64CADFC1" w14:textId="77777777" w:rsidTr="00852A5C">
        <w:trPr>
          <w:trHeight w:val="133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A7B2D" w14:textId="4A400B7A" w:rsidR="000F473A" w:rsidRPr="00BD265B" w:rsidRDefault="000F473A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4C8C0E" w14:textId="77777777" w:rsidR="000F473A" w:rsidRPr="000F473A" w:rsidRDefault="000F473A" w:rsidP="000F47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Pass with a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4A5DDD6" w14:textId="77777777" w:rsidR="000F473A" w:rsidRPr="000F473A" w:rsidRDefault="000F473A" w:rsidP="000F47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0A3C320A" w14:textId="77777777" w:rsidR="000F473A" w:rsidRPr="000F473A" w:rsidRDefault="000F473A" w:rsidP="000F47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active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2FE44F81" w14:textId="42584E33" w:rsidR="000F473A" w:rsidRPr="00BD265B" w:rsidRDefault="000F473A" w:rsidP="000F47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- test: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mixed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test (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multiple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choice, open-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ended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task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F473A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0F473A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41A4B"/>
    <w:multiLevelType w:val="hybridMultilevel"/>
    <w:tmpl w:val="76C27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61B00"/>
    <w:multiLevelType w:val="hybridMultilevel"/>
    <w:tmpl w:val="9A46F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16F15"/>
    <w:multiLevelType w:val="hybridMultilevel"/>
    <w:tmpl w:val="017E9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F473A"/>
    <w:rsid w:val="00276D78"/>
    <w:rsid w:val="003B0B6E"/>
    <w:rsid w:val="003B6999"/>
    <w:rsid w:val="003D28C1"/>
    <w:rsid w:val="00456B3A"/>
    <w:rsid w:val="005F124D"/>
    <w:rsid w:val="006B5A76"/>
    <w:rsid w:val="00730FF9"/>
    <w:rsid w:val="007D32CD"/>
    <w:rsid w:val="007D751D"/>
    <w:rsid w:val="0095196D"/>
    <w:rsid w:val="0095594D"/>
    <w:rsid w:val="00AE2E2C"/>
    <w:rsid w:val="00B00C41"/>
    <w:rsid w:val="00BC7549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azawiedzy.wsb.edu.pl/info/article/AWSB09c357d5e39341cf975ad0f1236d3fbb?r=publication&amp;ps=20&amp;tab=&amp;title=Publikacja%2B%25E2%2580%2593%2BZapewnienie%2Bbezpiecze%25C5%2584stwa%2Bwarunk%25C3%25B3w%2Bpracy%2Bz%2Bperspektywy%2Bpracodawcy%2Boraz%2Bpracownika%2Bw%2Bokresie%2Bpandemii%2BCOVID-19%2B%25E2%2580%2593%2BAkademia%2BWSB&amp;lang=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azawiedzy.wsb.edu.pl/info/article/AWSB51b39538636240e38a322d479a6d62df?r=publication&amp;ps=20&amp;tab=&amp;title=Publikacja%2B%25E2%2580%2593%2BOdpowiedzialno%25C5%259B%25C4%2587%2Bcywilna%2Buczelni%2Bza%2Bszkody%2Bwyrz%25C4%2585dzone%2Bprzez%2Bmolestowanie%2Bseksualne%2Bpracownik%25C3%25B3w%2Blub%2Bstudent%25C3%25B3w%2B%25E2%2580%2593%2BAkademia%2BWSB&amp;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schemas.microsoft.com/office/infopath/2007/PartnerControls"/>
    <ds:schemaRef ds:uri="1cb1aa24-5898-4171-ad68-fa1adeb243de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AB10D-B48C-4D79-9E1E-77FDB29A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5</cp:revision>
  <dcterms:created xsi:type="dcterms:W3CDTF">2026-03-02T08:58:00Z</dcterms:created>
  <dcterms:modified xsi:type="dcterms:W3CDTF">2026-03-02T09:09:00Z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