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35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1044"/>
      </w:tblGrid>
      <w:tr w:rsidR="00BC7549" w:rsidRPr="00AA63DE" w14:paraId="0ADB2335" w14:textId="77777777" w:rsidTr="00E66A08">
        <w:trPr>
          <w:trHeight w:val="139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FE243D9" w14:textId="77777777" w:rsidR="00BC7549" w:rsidRPr="00AA63DE" w:rsidRDefault="00BC7549" w:rsidP="00E66A0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DE424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y</w:t>
            </w:r>
          </w:p>
          <w:p w14:paraId="0651CABB" w14:textId="77777777" w:rsidR="00BC7549" w:rsidRPr="00AA63DE" w:rsidRDefault="00BC7549" w:rsidP="00E66A0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6C0B9BF1" w14:textId="77777777" w:rsidTr="00E66A08">
        <w:trPr>
          <w:trHeight w:val="139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4F5F" w14:textId="77777777" w:rsidR="00BC7549" w:rsidRPr="00456B3A" w:rsidRDefault="00BC7549" w:rsidP="00E66A0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50346CCC" w14:textId="77777777" w:rsidTr="00E66A08">
        <w:trPr>
          <w:trHeight w:val="139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61BE" w14:textId="77777777" w:rsidR="00BC7549" w:rsidRPr="00456B3A" w:rsidRDefault="00BC7549" w:rsidP="00E66A0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6614D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Mathematics</w:t>
            </w:r>
          </w:p>
        </w:tc>
      </w:tr>
      <w:tr w:rsidR="00BC7549" w:rsidRPr="00AA63DE" w14:paraId="2B791591" w14:textId="77777777" w:rsidTr="00E66A08">
        <w:trPr>
          <w:trHeight w:val="139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9F7C" w14:textId="77777777" w:rsidR="00BC7549" w:rsidRPr="00456B3A" w:rsidRDefault="00BC7549" w:rsidP="00E66A0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4535F46F" w14:textId="77777777" w:rsidTr="00E66A08">
        <w:trPr>
          <w:trHeight w:val="139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1405" w14:textId="77777777" w:rsidR="00BC7549" w:rsidRPr="00456B3A" w:rsidRDefault="00BC7549" w:rsidP="00E66A0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05654C8E" w14:textId="77777777" w:rsidTr="00E66A08">
        <w:trPr>
          <w:cantSplit/>
          <w:trHeight w:val="251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2063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0DBA5C8C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D0D86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C9D07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A0FD18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5CC1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107C0576" w14:textId="77777777" w:rsidTr="00E66A08">
        <w:trPr>
          <w:cantSplit/>
          <w:trHeight w:val="244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A168" w14:textId="77777777" w:rsidR="00BC7549" w:rsidRPr="00456B3A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hideMark/>
          </w:tcPr>
          <w:p w14:paraId="3CDAC0A3" w14:textId="77777777" w:rsidR="00BC7549" w:rsidRPr="00895B0B" w:rsidRDefault="00BC7549" w:rsidP="00E66A0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95B0B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D0D59" w14:textId="77777777" w:rsidR="00BC7549" w:rsidRPr="00456B3A" w:rsidRDefault="00BC7549" w:rsidP="00E66A0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5EAE6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12BAE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9FE7" w14:textId="77777777" w:rsidR="00BC7549" w:rsidRPr="006614D8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614D8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E20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92E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3875784D" w14:textId="77777777" w:rsidTr="00E66A08">
        <w:trPr>
          <w:cantSplit/>
          <w:trHeight w:val="26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3AFD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34E5BB73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5505D0" w14:textId="77777777" w:rsidR="00BC7549" w:rsidRPr="00895B0B" w:rsidRDefault="00895B0B" w:rsidP="00E66A0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22 lectures/ 22 exercises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FC81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6FFAD5E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B415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4CB67AA" w14:textId="77777777" w:rsidR="00BC7549" w:rsidRPr="006614D8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D07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7F8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5EB5F500" w14:textId="77777777" w:rsidTr="00E66A08">
        <w:trPr>
          <w:cantSplit/>
          <w:trHeight w:val="26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E855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24A1CDDC" w14:textId="77777777" w:rsidR="00BC7549" w:rsidRPr="00456B3A" w:rsidRDefault="00BC7549" w:rsidP="00E66A0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63479D" w14:textId="77777777" w:rsidR="00BC7549" w:rsidRPr="00895B0B" w:rsidRDefault="00BC7549" w:rsidP="00E66A0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31F1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EEBD792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E0F8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DF85746" w14:textId="77777777" w:rsidR="00BC7549" w:rsidRPr="006614D8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F5A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F01" w14:textId="77777777" w:rsidR="00BC7549" w:rsidRPr="00456B3A" w:rsidRDefault="00BC7549" w:rsidP="00E66A0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08BF207C" w14:textId="77777777" w:rsidTr="00E66A08">
        <w:trPr>
          <w:cantSplit/>
          <w:trHeight w:val="26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076" w14:textId="77777777" w:rsidR="007D751D" w:rsidRPr="00456B3A" w:rsidRDefault="007D751D" w:rsidP="00E66A0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D214" w14:textId="77777777" w:rsidR="007D751D" w:rsidRPr="00456B3A" w:rsidRDefault="007D751D" w:rsidP="00E66A0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5280C09" w14:textId="77777777" w:rsidTr="00E66A08">
        <w:trPr>
          <w:cantSplit/>
          <w:trHeight w:val="13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902" w14:textId="77777777" w:rsidR="00BC7549" w:rsidRPr="00456B3A" w:rsidRDefault="00BC7549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691E6" w14:textId="7689D3E5" w:rsidR="00BC7549" w:rsidRPr="00456B3A" w:rsidRDefault="00BC7549" w:rsidP="00E66A08">
            <w:pPr>
              <w:tabs>
                <w:tab w:val="left" w:pos="516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2E7A8A5E" w14:textId="77777777" w:rsidTr="00E66A08">
        <w:trPr>
          <w:trHeight w:val="28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2E7" w14:textId="77777777" w:rsidR="00BC7549" w:rsidRPr="00456B3A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326" w14:textId="77777777" w:rsidR="00BC7549" w:rsidRPr="00456B3A" w:rsidRDefault="00895B0B" w:rsidP="00E66A0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="00BC7549"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440F0612" w14:textId="77777777" w:rsidTr="00E66A08">
        <w:trPr>
          <w:trHeight w:val="27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F84" w14:textId="77777777" w:rsidR="00BC7549" w:rsidRPr="00456B3A" w:rsidRDefault="00BC7549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5F2F0CD9" w14:textId="77777777" w:rsidR="00BC7549" w:rsidRPr="00456B3A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F21" w14:textId="77777777" w:rsidR="00895B0B" w:rsidRPr="00895B0B" w:rsidRDefault="00895B0B" w:rsidP="00E66A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>Learning the substantive basics of matrix calculus and its practical applications in solving systems of linear equations;</w:t>
            </w:r>
          </w:p>
          <w:p w14:paraId="2572E6DA" w14:textId="77777777" w:rsidR="00BC7549" w:rsidRPr="00895B0B" w:rsidRDefault="00895B0B" w:rsidP="00E66A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Introduction to key issues in mathematical analysis, in particular differential and integral calculus and their applications in solving problems in the field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and determining the areas of flat figures.  </w:t>
            </w:r>
          </w:p>
        </w:tc>
      </w:tr>
      <w:tr w:rsidR="00BC7549" w:rsidRPr="00304EF9" w14:paraId="0439ED37" w14:textId="77777777" w:rsidTr="00E66A08">
        <w:trPr>
          <w:trHeight w:val="278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68C851" w14:textId="77777777" w:rsidR="00BC7549" w:rsidRPr="00304EF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D994DB" w14:textId="77777777" w:rsidR="00BC7549" w:rsidRPr="00304EF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3306FB2" w14:textId="77777777" w:rsidR="00BC7549" w:rsidRPr="00BC754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3A64A9B2" w14:textId="77777777" w:rsidTr="00E66A08">
        <w:trPr>
          <w:trHeight w:val="477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DF986" w14:textId="77777777" w:rsidR="00BC7549" w:rsidRPr="00304EF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A5967" w14:textId="77777777" w:rsidR="00BC7549" w:rsidRPr="00BC754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872" w14:textId="77777777" w:rsidR="00BC7549" w:rsidRPr="001A176B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A23" w14:textId="77777777" w:rsidR="00BC7549" w:rsidRPr="001A176B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6B4CAF8" w14:textId="77777777" w:rsidTr="00E66A08">
        <w:trPr>
          <w:trHeight w:val="27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E85B" w14:textId="77777777" w:rsidR="00BC7549" w:rsidRPr="00BC7549" w:rsidRDefault="00BC7549" w:rsidP="00E66A08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895B0B" w:rsidRPr="00DD73B6" w14:paraId="45FE515B" w14:textId="77777777" w:rsidTr="00E66A08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2C1" w14:textId="77777777" w:rsidR="00895B0B" w:rsidRPr="00304EF9" w:rsidRDefault="00895B0B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C530D">
              <w:rPr>
                <w:rFonts w:ascii="Arial Narrow" w:hAnsi="Arial Narrow" w:cs="Arial"/>
                <w:bCs/>
                <w:sz w:val="20"/>
                <w:szCs w:val="20"/>
              </w:rPr>
              <w:t>K_W08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49A" w14:textId="77777777" w:rsidR="00895B0B" w:rsidRPr="00304EF9" w:rsidRDefault="00895B0B" w:rsidP="00E66A0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485" w14:textId="77777777" w:rsidR="00895B0B" w:rsidRPr="001A176B" w:rsidRDefault="00895B0B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of linear algebra, including: matrix operations, the concepts of determinants, matrix rank and inverse matrices, solving simple matrix equations, methods for solving systems of linear equations, including Cramer's rule, and knowledge of the Kronecker–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>Capelli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theorem.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5BD5D" w14:textId="77777777" w:rsidR="00895B0B" w:rsidRPr="00E528A2" w:rsidRDefault="00895B0B" w:rsidP="00E66A08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assigned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computational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(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</w:tr>
      <w:tr w:rsidR="00895B0B" w:rsidRPr="00DD73B6" w14:paraId="7D7D88AB" w14:textId="77777777" w:rsidTr="00E66A08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F38" w14:textId="77777777" w:rsidR="00895B0B" w:rsidRPr="00304EF9" w:rsidRDefault="00895B0B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C530D">
              <w:rPr>
                <w:rFonts w:ascii="Arial Narrow" w:hAnsi="Arial Narrow"/>
                <w:sz w:val="20"/>
                <w:szCs w:val="20"/>
              </w:rPr>
              <w:t>K_W11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50C" w14:textId="77777777" w:rsidR="00895B0B" w:rsidRPr="00304EF9" w:rsidRDefault="00895B0B" w:rsidP="00E66A0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EB2" w14:textId="77777777" w:rsidR="00895B0B" w:rsidRPr="0042043C" w:rsidRDefault="00895B0B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necessary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description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phenomena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in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particular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real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numbers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powers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logarithms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graphs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elementary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derivative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a single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variable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determining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l'Hospital's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rule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'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Hospitala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rule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differential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variability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interpretation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derivative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elasticity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basics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differential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several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variables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determining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local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conditional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extremes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two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variables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indefinite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lastRenderedPageBreak/>
              <w:t>definite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integrals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geometric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interpretation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definite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integrals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, in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particular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context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area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flat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 w:cs="Arial"/>
                <w:sz w:val="20"/>
                <w:szCs w:val="20"/>
              </w:rPr>
              <w:t>surface</w:t>
            </w:r>
            <w:proofErr w:type="spellEnd"/>
            <w:r w:rsidRPr="00895B0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B7D" w14:textId="77777777" w:rsidR="00895B0B" w:rsidRPr="00E528A2" w:rsidRDefault="00895B0B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5DFF0ABF" w14:textId="77777777" w:rsidTr="00E66A08">
        <w:trPr>
          <w:trHeight w:val="27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0F54A" w14:textId="77777777" w:rsidR="00BC7549" w:rsidRPr="00BC7549" w:rsidRDefault="00BC7549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10486D" w:rsidRPr="00DD73B6" w14:paraId="2865CBE7" w14:textId="77777777" w:rsidTr="00E66A08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CB0" w14:textId="77777777" w:rsidR="0010486D" w:rsidRPr="003C530D" w:rsidRDefault="0010486D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K_U04</w:t>
            </w:r>
          </w:p>
          <w:p w14:paraId="315B139C" w14:textId="77777777" w:rsidR="0010486D" w:rsidRPr="00304EF9" w:rsidRDefault="0010486D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FF1" w14:textId="77777777" w:rsidR="0010486D" w:rsidRPr="003C530D" w:rsidRDefault="0010486D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P6S_UW</w:t>
            </w:r>
          </w:p>
          <w:p w14:paraId="023212FB" w14:textId="77777777" w:rsidR="0010486D" w:rsidRPr="00304EF9" w:rsidRDefault="0010486D" w:rsidP="00E66A0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406" w14:textId="77777777" w:rsidR="0010486D" w:rsidRPr="0010486D" w:rsidRDefault="0010486D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apply mathematical methods to </w:t>
            </w:r>
            <w:proofErr w:type="spellStart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 xml:space="preserve"> and forecast the level and dynamics of selected economic variables, in particular: use derivatives of single-variable functions to </w:t>
            </w:r>
            <w:proofErr w:type="spellStart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 xml:space="preserve"> changes and trends, apply function elasticity and economic interpretation of derivatives, use integral calculus to </w:t>
            </w:r>
            <w:proofErr w:type="spellStart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 xml:space="preserve"> cumulative values and flat area fields, interpret the results obtained in the context of the achievements of a company or </w:t>
            </w:r>
            <w:proofErr w:type="spellStart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>organisation</w:t>
            </w:r>
            <w:proofErr w:type="spellEnd"/>
            <w:r w:rsidRPr="0010486D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EA6E8" w14:textId="77777777" w:rsidR="0010486D" w:rsidRPr="00CE5E35" w:rsidRDefault="0010486D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assigned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computational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(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</w:tr>
      <w:tr w:rsidR="0010486D" w:rsidRPr="00CE5E35" w14:paraId="1055A805" w14:textId="77777777" w:rsidTr="00E66A08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A8B" w14:textId="77777777" w:rsidR="0010486D" w:rsidRPr="003C530D" w:rsidRDefault="0010486D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K_U11</w:t>
            </w:r>
          </w:p>
          <w:p w14:paraId="5908F73A" w14:textId="77777777" w:rsidR="0010486D" w:rsidRPr="00304EF9" w:rsidRDefault="0010486D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904" w14:textId="77777777" w:rsidR="0010486D" w:rsidRPr="003C530D" w:rsidRDefault="0010486D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P6S_UW</w:t>
            </w:r>
          </w:p>
          <w:p w14:paraId="76C0CC56" w14:textId="77777777" w:rsidR="0010486D" w:rsidRPr="00304EF9" w:rsidRDefault="0010486D" w:rsidP="00E66A0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FEF" w14:textId="77777777" w:rsidR="0010486D" w:rsidRPr="002C2FC0" w:rsidRDefault="0010486D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formulate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solve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engineering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, in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particular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matrix algebra and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linear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equations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to model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decision-making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differential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of single and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multiple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variable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extremes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optimisation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analytical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simulation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modelling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describe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phenomena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interpret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relation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0486D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10486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4DC" w14:textId="77777777" w:rsidR="0010486D" w:rsidRPr="00CE5E35" w:rsidRDefault="0010486D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54789363" w14:textId="77777777" w:rsidTr="00E66A08">
        <w:trPr>
          <w:trHeight w:val="278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B6EDB" w14:textId="77777777" w:rsidR="00456B3A" w:rsidRPr="00456B3A" w:rsidRDefault="00456B3A" w:rsidP="00E66A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4D79CA" w:rsidRPr="00CE5E35" w14:paraId="36309427" w14:textId="77777777" w:rsidTr="00E66A08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FE9" w14:textId="77777777" w:rsidR="004D79CA" w:rsidRPr="003C530D" w:rsidRDefault="004D79CA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K_K01</w:t>
            </w:r>
          </w:p>
          <w:p w14:paraId="135E3A69" w14:textId="77777777" w:rsidR="004D79CA" w:rsidRPr="00304EF9" w:rsidRDefault="004D79CA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CAD" w14:textId="77777777" w:rsidR="004D79CA" w:rsidRPr="003C530D" w:rsidRDefault="004D79CA" w:rsidP="00E66A08">
            <w:pPr>
              <w:pStyle w:val="Nagwek3"/>
              <w:rPr>
                <w:rFonts w:ascii="Arial Narrow" w:hAnsi="Arial Narrow"/>
                <w:sz w:val="20"/>
                <w:szCs w:val="20"/>
              </w:rPr>
            </w:pPr>
            <w:r w:rsidRPr="003C530D">
              <w:rPr>
                <w:rStyle w:val="Pogrubienie"/>
                <w:rFonts w:ascii="Arial Narrow" w:hAnsi="Arial Narrow"/>
                <w:bCs/>
                <w:sz w:val="20"/>
                <w:szCs w:val="20"/>
              </w:rPr>
              <w:t>K_K01</w:t>
            </w:r>
          </w:p>
          <w:p w14:paraId="3802CAF8" w14:textId="77777777" w:rsidR="004D79CA" w:rsidRPr="00304EF9" w:rsidRDefault="004D79CA" w:rsidP="00E66A08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8EE" w14:textId="77777777" w:rsidR="004D79CA" w:rsidRPr="002C2FC0" w:rsidRDefault="004D79CA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content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to management and engineering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importance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seek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expert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advice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situations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requiring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in-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depth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exceeding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current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D79CA">
              <w:rPr>
                <w:rFonts w:ascii="Arial Narrow" w:hAnsi="Arial Narrow" w:cs="Arial"/>
                <w:sz w:val="20"/>
                <w:szCs w:val="20"/>
              </w:rPr>
              <w:t>competence</w:t>
            </w:r>
            <w:proofErr w:type="spellEnd"/>
            <w:r w:rsidRPr="004D79C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E53" w14:textId="77777777" w:rsidR="004D79CA" w:rsidRPr="00CE5E35" w:rsidRDefault="004D79CA" w:rsidP="00E66A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assigned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computational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problems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(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solving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895B0B">
              <w:rPr>
                <w:rFonts w:ascii="Arial Narrow" w:hAnsi="Arial Narrow"/>
                <w:bCs/>
                <w:sz w:val="20"/>
                <w:szCs w:val="20"/>
              </w:rPr>
              <w:t>tasks</w:t>
            </w:r>
            <w:proofErr w:type="spellEnd"/>
            <w:r w:rsidRPr="00895B0B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</w:tr>
      <w:tr w:rsidR="00BC7549" w:rsidRPr="00CE5E35" w14:paraId="0D2D5695" w14:textId="77777777" w:rsidTr="00E66A08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640" w:type="dxa"/>
            <w:gridSpan w:val="13"/>
          </w:tcPr>
          <w:p w14:paraId="00B07962" w14:textId="77777777" w:rsidR="00BC7549" w:rsidRPr="003C1639" w:rsidRDefault="00BC7549" w:rsidP="00E66A08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</w:tc>
      </w:tr>
      <w:tr w:rsidR="00BC7549" w:rsidRPr="00CE5E35" w14:paraId="33A37AC6" w14:textId="77777777" w:rsidTr="00E66A08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759" w:type="dxa"/>
            <w:gridSpan w:val="7"/>
          </w:tcPr>
          <w:p w14:paraId="1F5F4B87" w14:textId="77777777" w:rsidR="00BC7549" w:rsidRDefault="00BC7549" w:rsidP="00E66A08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5E13E44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4D1E8C15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22 h</w:t>
            </w:r>
          </w:p>
          <w:p w14:paraId="27F0EDDD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>3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>0 h</w:t>
            </w:r>
          </w:p>
          <w:p w14:paraId="60E20C8D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30h</w:t>
            </w:r>
          </w:p>
          <w:p w14:paraId="5B08722F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>40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h</w:t>
            </w:r>
          </w:p>
          <w:p w14:paraId="6E1163AA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2C2974DC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>4h</w:t>
            </w:r>
          </w:p>
          <w:p w14:paraId="4D74D863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169E3E36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4FC554D7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05490EC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5569C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</w:t>
            </w:r>
            <w:r w:rsidR="002F2CF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1</w:t>
            </w:r>
            <w:r w:rsidR="005569C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</w:t>
            </w:r>
            <w:r w:rsidR="002F2CF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  <w:r w:rsidR="005569C2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h</w:t>
            </w:r>
          </w:p>
          <w:p w14:paraId="27489F41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2F2CF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6</w:t>
            </w:r>
          </w:p>
          <w:p w14:paraId="28123B36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lastRenderedPageBreak/>
              <w:t xml:space="preserve">including practical classes: </w:t>
            </w:r>
            <w:r w:rsidR="002F2CFE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3</w:t>
            </w:r>
          </w:p>
          <w:p w14:paraId="5E763BBD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81" w:type="dxa"/>
            <w:gridSpan w:val="6"/>
          </w:tcPr>
          <w:p w14:paraId="78DEB98B" w14:textId="77777777" w:rsidR="00BC7549" w:rsidRPr="00A81688" w:rsidRDefault="00BC7549" w:rsidP="00E66A08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lastRenderedPageBreak/>
              <w:t>Part-time studies:</w:t>
            </w:r>
          </w:p>
          <w:p w14:paraId="1380FB51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5636029B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710EC647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5569C2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5ED9870E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5A1F0844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 w:rsidR="00302B8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738CECEB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0069F9DF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consultations </w:t>
            </w:r>
          </w:p>
          <w:p w14:paraId="7CA39548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2AA2F0FB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48039EC8" w14:textId="77777777" w:rsidR="00BC7549" w:rsidRPr="00BC7549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4DEF3114" w14:textId="77777777" w:rsidR="00BC7549" w:rsidRPr="00A81688" w:rsidRDefault="00BC7549" w:rsidP="00E66A08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6C3A9E9C" w14:textId="77777777" w:rsidR="00BC7549" w:rsidRPr="00A81688" w:rsidRDefault="00BC7549" w:rsidP="00E66A08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1FE3B86A" w14:textId="77777777" w:rsidR="00BC7549" w:rsidRPr="00A81688" w:rsidRDefault="00BC7549" w:rsidP="00E66A08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lastRenderedPageBreak/>
              <w:t>Number of ECTS points:</w:t>
            </w:r>
          </w:p>
          <w:p w14:paraId="7E268A27" w14:textId="77777777" w:rsidR="00BC7549" w:rsidRPr="00A81688" w:rsidRDefault="00BC7549" w:rsidP="00E66A08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including practical classes:</w:t>
            </w:r>
          </w:p>
          <w:p w14:paraId="278EFD98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79C7BC87" w14:textId="77777777" w:rsidTr="00E66A08">
        <w:trPr>
          <w:trHeight w:val="376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CD81" w14:textId="77777777" w:rsidR="00BC7549" w:rsidRPr="00A81688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PREREQUISITES 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3F6" w14:textId="77777777" w:rsidR="00BC7549" w:rsidRPr="00A81688" w:rsidRDefault="00E32164" w:rsidP="00E66A08">
            <w:pPr>
              <w:tabs>
                <w:tab w:val="left" w:pos="1752"/>
              </w:tabs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216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News from the mathematics </w:t>
            </w:r>
            <w:proofErr w:type="spellStart"/>
            <w:r w:rsidRPr="00E32164">
              <w:rPr>
                <w:rFonts w:ascii="Arial Narrow" w:hAnsi="Arial Narrow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E3216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at a comprehensive school. Ability to think logically. Ability to describe simple mathematical issues. Ability to work in a group.</w:t>
            </w:r>
          </w:p>
        </w:tc>
      </w:tr>
      <w:tr w:rsidR="00BC7549" w:rsidRPr="00CE5E35" w14:paraId="6D891E27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EAA" w14:textId="77777777" w:rsidR="00BC7549" w:rsidRPr="008846BC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38DA780E" w14:textId="77777777" w:rsidR="00BC7549" w:rsidRPr="008846BC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303C7426" w14:textId="77777777" w:rsidR="00BC7549" w:rsidRPr="008846BC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1A409F16" w14:textId="77777777" w:rsidR="00BC7549" w:rsidRPr="008846BC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3C23DB32" w14:textId="77777777" w:rsidR="00BC7549" w:rsidRPr="008846BC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C97" w14:textId="77777777" w:rsidR="00B25E65" w:rsidRP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directly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0AC75504" w14:textId="77777777" w:rsidR="00B25E65" w:rsidRP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1. Matrix algebra (matrix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operations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determinant and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rank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a matrix,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inverse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matrix,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simple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matrix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equations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1C152ADC" w14:textId="77777777" w:rsid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2. Systems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linear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equations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Cramer's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rule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Kronecker-Capelli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theorem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arbitrary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linear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equations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319FA6F" w14:textId="77777777" w:rsidR="007D1B75" w:rsidRPr="00B25E65" w:rsidRDefault="007D1B7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>
              <w:t xml:space="preserve"> </w:t>
            </w:r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Operations on real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numbers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powers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logarithms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graphs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D1B75">
              <w:rPr>
                <w:rFonts w:ascii="Arial Narrow" w:hAnsi="Arial Narrow" w:cs="Arial"/>
                <w:sz w:val="20"/>
                <w:szCs w:val="20"/>
              </w:rPr>
              <w:t>properties</w:t>
            </w:r>
            <w:proofErr w:type="spellEnd"/>
            <w:r w:rsidRPr="007D1B7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46A95D39" w14:textId="77777777" w:rsidR="00B25E65" w:rsidRP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Differential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one real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variable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derivative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a point,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derivative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L'Hôpital's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rule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interpretation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derivative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elasticity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studying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variation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6A6A38EF" w14:textId="77777777" w:rsidR="00B25E65" w:rsidRP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Differential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several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variables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determining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local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conditional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extremes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two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variables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). </w:t>
            </w:r>
          </w:p>
          <w:p w14:paraId="081711E1" w14:textId="77777777" w:rsidR="00B25E65" w:rsidRPr="00B25E65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6.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Integral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calculus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functions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one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variable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indefinite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integral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integration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definite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integral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area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flat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surface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economic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interpretation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8158B2C" w14:textId="77777777" w:rsidR="00BC7549" w:rsidRPr="00AA0536" w:rsidRDefault="00B25E65" w:rsidP="00E66A08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B25E65">
              <w:rPr>
                <w:rFonts w:ascii="Arial Narrow" w:hAnsi="Arial Narrow" w:cs="Arial"/>
                <w:sz w:val="20"/>
                <w:szCs w:val="20"/>
              </w:rPr>
              <w:t xml:space="preserve"> via e-learning: Not </w:t>
            </w:r>
            <w:proofErr w:type="spellStart"/>
            <w:r w:rsidRPr="00B25E65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796EF918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215" w14:textId="77777777" w:rsidR="00BC7549" w:rsidRPr="005A6A57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58FAA977" w14:textId="77777777" w:rsidR="00BC7549" w:rsidRPr="005A6A57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245" w14:textId="77777777" w:rsidR="00873FF0" w:rsidRPr="002F2CFE" w:rsidRDefault="002F2CFE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t>Stewart, J. – Calculus (9th Edition), Cengage Learning, 2021</w:t>
            </w:r>
          </w:p>
          <w:p w14:paraId="0A493419" w14:textId="77777777" w:rsidR="00873FF0" w:rsidRPr="002F2CFE" w:rsidRDefault="002F2CFE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t>Anton, H., Bivens, I., Davis, S. – Calculus (Early Transcendentals) (12th Edition), Wiley, 2023</w:t>
            </w:r>
          </w:p>
          <w:p w14:paraId="35604AF2" w14:textId="77777777" w:rsidR="002F2CFE" w:rsidRPr="002F2CFE" w:rsidRDefault="002F2CFE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t>Strang, G. – Linear Algebra and Learning from Data, Wellesley-Cambridge Press, 2019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br/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t>Lay, D., Lay, S., McDonald, J. – Linear Algebra and Its Applications (6th Edition), Pearson, 2021</w:t>
            </w:r>
          </w:p>
          <w:p w14:paraId="4A27F1AB" w14:textId="77777777" w:rsidR="00BC7549" w:rsidRPr="002F2CFE" w:rsidRDefault="002F2CFE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873FF0" w:rsidRPr="002F2CFE">
              <w:rPr>
                <w:rFonts w:ascii="Arial Narrow" w:hAnsi="Arial Narrow"/>
                <w:sz w:val="20"/>
                <w:szCs w:val="20"/>
                <w:lang w:val="en-US"/>
              </w:rPr>
              <w:t>Adams, R. A., Essex, C. – Calculus: A Complete Course (10th Edition), Pearson, 2022</w:t>
            </w:r>
          </w:p>
        </w:tc>
      </w:tr>
      <w:tr w:rsidR="00BC7549" w:rsidRPr="004745B9" w14:paraId="34DC0542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14F7" w14:textId="77777777" w:rsidR="00BC7549" w:rsidRPr="004E0CD6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C52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Ciałowicz B. [2017], "Workout</w:t>
            </w:r>
            <w:r w:rsidR="00873FF0"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in Calculus and Linear Algebra with Applications in Economics", Cracow University of Economics Press, Cracow</w:t>
            </w:r>
          </w:p>
          <w:p w14:paraId="556778C3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P.Zima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, R. Brown, Mathematics of Finance,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Schaum’s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Outlines, McGraw-Hill</w:t>
            </w:r>
          </w:p>
          <w:p w14:paraId="7D90BE28" w14:textId="77777777" w:rsidR="00BC7549" w:rsidRPr="004E0CD6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Applied Mathematics for the Managerial, Life and Social Sciences, Soo T. Tan, Brooks/Cole Cengage Learning</w:t>
            </w:r>
          </w:p>
        </w:tc>
      </w:tr>
      <w:tr w:rsidR="006B5A76" w:rsidRPr="004745B9" w14:paraId="4AB914D9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136" w14:textId="77777777" w:rsidR="006B5A76" w:rsidRPr="004E0CD6" w:rsidRDefault="006B5A76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575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(2024).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Matematyka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dla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ekonomistów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programem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Mathematica.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Część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I.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Funkcja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jednej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zmiennej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. ISBN 978-83-7875-891-4. Allegro</w:t>
            </w:r>
          </w:p>
          <w:p w14:paraId="6CC3389F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(2023).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Matematyka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komputerem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przykładach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</w:p>
          <w:p w14:paraId="186013FD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(2020).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Kompendium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egzaminacyjne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matematyki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(z A.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Przybylska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-Mazur, J.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Acedański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&amp; M. Balcerowicz-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Szkutnik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. Allegro</w:t>
            </w:r>
          </w:p>
          <w:p w14:paraId="38EB9DDD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(2019).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Modelowanie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procesów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finansowych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gospodarczych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społecznych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zastosowaniem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analizy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wielorozdzielczej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</w:p>
          <w:p w14:paraId="4213EFAB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(2013).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Inwestycje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alternatywne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na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polskim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rynku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kapitałowym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Innowacje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finansach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ubezpieczeniach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metody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matematyczne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informatyczne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Studia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, nr 146, ss. 29-37).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</w:p>
          <w:p w14:paraId="11DE386F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Hadaś-Dyduch, M. (2013).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Rachunek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różniczkowy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różnicowy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rozszerzone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). W.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Szkutnik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(Red.),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Uniwersytet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1527AE7A" w14:textId="77777777" w:rsidR="00B25E65" w:rsidRPr="00B25E65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Bogocz, D. (2012).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Pomiędzy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tak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nie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czyli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rozmytym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charakterze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pojęć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metod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kategorii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Metody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Ilościowe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Badaniach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Ekonomicznych</w:t>
            </w:r>
            <w:proofErr w:type="spellEnd"/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, XIII(1), 49-57.</w:t>
            </w:r>
          </w:p>
          <w:p w14:paraId="2E5D41FB" w14:textId="77777777" w:rsidR="006B5A76" w:rsidRPr="004E0CD6" w:rsidRDefault="00B25E65" w:rsidP="00E66A08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B25E65">
              <w:rPr>
                <w:rFonts w:ascii="Arial Narrow" w:hAnsi="Arial Narrow"/>
                <w:sz w:val="20"/>
                <w:szCs w:val="20"/>
                <w:lang w:val="en-US"/>
              </w:rPr>
              <w:t>Guzik, K., &amp; Prysak, P. (2015). Profitability of investment portfolios based on partial order relations. Krakow Review of Economics and Management</w:t>
            </w:r>
          </w:p>
        </w:tc>
      </w:tr>
      <w:tr w:rsidR="00BC7549" w:rsidRPr="007853E6" w14:paraId="3496F720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A6E" w14:textId="77777777" w:rsidR="00BC7549" w:rsidRPr="00AD1371" w:rsidRDefault="00BC7549" w:rsidP="00E66A0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706E4061" w14:textId="77777777" w:rsidR="00BC7549" w:rsidRPr="00AD1371" w:rsidRDefault="00BC7549" w:rsidP="00E66A08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50A8C1F2" w14:textId="77777777" w:rsidR="00BC7549" w:rsidRPr="00AD1371" w:rsidRDefault="00BC7549" w:rsidP="00E66A08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752552BA" w14:textId="77777777" w:rsidR="00BC7549" w:rsidRPr="00AD1371" w:rsidRDefault="00BC7549" w:rsidP="00E66A0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and e-learning classes)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667" w14:textId="77777777" w:rsidR="0042427C" w:rsidRPr="0042427C" w:rsidRDefault="0042427C" w:rsidP="00E66A08">
            <w:pPr>
              <w:tabs>
                <w:tab w:val="left" w:pos="129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2427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In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F738892" w14:textId="77777777" w:rsidR="0042427C" w:rsidRPr="0042427C" w:rsidRDefault="0042427C" w:rsidP="00E66A08">
            <w:pPr>
              <w:tabs>
                <w:tab w:val="left" w:pos="129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demonstration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, problem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4E4B29FF" w14:textId="77777777" w:rsidR="00BC7549" w:rsidRPr="00AD1371" w:rsidRDefault="0042427C" w:rsidP="00E66A08">
            <w:pPr>
              <w:tabs>
                <w:tab w:val="left" w:pos="129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21043B72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5826" w14:textId="77777777" w:rsidR="00BC7549" w:rsidRPr="00DC666F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543" w14:textId="77777777" w:rsidR="00BC7549" w:rsidRPr="00DC666F" w:rsidRDefault="0042427C" w:rsidP="00E66A0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2427C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collection of tasks</w:t>
            </w:r>
          </w:p>
        </w:tc>
      </w:tr>
      <w:tr w:rsidR="00BC7549" w:rsidRPr="00BD265B" w14:paraId="1582B594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4F6B" w14:textId="77777777" w:rsidR="00BC7549" w:rsidRPr="00BD265B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75188EE4" w14:textId="77777777" w:rsidR="00BC7549" w:rsidRPr="00BD265B" w:rsidRDefault="00BC7549" w:rsidP="00E66A08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4A2EA48F" w14:textId="77777777" w:rsidR="00BC7549" w:rsidRPr="00BD265B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2CB" w14:textId="77777777" w:rsidR="00BC7549" w:rsidRPr="00BD265B" w:rsidRDefault="0042427C" w:rsidP="00E66A08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0738E41E" w14:textId="77777777" w:rsidTr="00E66A08">
        <w:trPr>
          <w:trHeight w:val="2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DBF" w14:textId="77777777" w:rsidR="00BC7549" w:rsidRPr="00BD265B" w:rsidRDefault="00BC7549" w:rsidP="00E66A08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F5" w14:textId="77777777" w:rsidR="00BC7549" w:rsidRPr="00BD265B" w:rsidRDefault="0042427C" w:rsidP="00E66A08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Completing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during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completing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2427C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42427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</w:tbl>
    <w:p w14:paraId="2C940AA6" w14:textId="77777777" w:rsidR="00BC7549" w:rsidRPr="00302B89" w:rsidRDefault="00BC7549" w:rsidP="00BC7549">
      <w:pPr>
        <w:pStyle w:val="Stopka"/>
        <w:rPr>
          <w:rFonts w:ascii="Arial Narrow" w:hAnsi="Arial Narrow"/>
          <w:lang w:val="en-US"/>
        </w:rPr>
      </w:pPr>
      <w:r w:rsidRPr="00302B89">
        <w:rPr>
          <w:rFonts w:ascii="Arial Narrow" w:hAnsi="Arial Narrow"/>
          <w:lang w:val="en-US"/>
        </w:rPr>
        <w:t xml:space="preserve">* lecture-lecture, exercises- exercises, lab- laboratory, </w:t>
      </w:r>
      <w:proofErr w:type="spellStart"/>
      <w:r w:rsidRPr="00302B89">
        <w:rPr>
          <w:rFonts w:ascii="Arial Narrow" w:hAnsi="Arial Narrow"/>
          <w:lang w:val="en-US"/>
        </w:rPr>
        <w:t>pr</w:t>
      </w:r>
      <w:proofErr w:type="spellEnd"/>
      <w:r w:rsidRPr="00302B89">
        <w:rPr>
          <w:rFonts w:ascii="Arial Narrow" w:hAnsi="Arial Narrow"/>
          <w:lang w:val="en-US"/>
        </w:rPr>
        <w:t>- project, e- e-learning.</w:t>
      </w:r>
    </w:p>
    <w:p w14:paraId="46693B2D" w14:textId="77777777" w:rsidR="00BC7549" w:rsidRPr="00AD1BBB" w:rsidRDefault="00BC7549" w:rsidP="00BC7549">
      <w:pPr>
        <w:pStyle w:val="Stopka"/>
      </w:pPr>
    </w:p>
    <w:p w14:paraId="4E100204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84E"/>
    <w:multiLevelType w:val="hybridMultilevel"/>
    <w:tmpl w:val="26C0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401"/>
    <w:multiLevelType w:val="hybridMultilevel"/>
    <w:tmpl w:val="260AD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0486D"/>
    <w:rsid w:val="00276D78"/>
    <w:rsid w:val="0029098E"/>
    <w:rsid w:val="002F2CFE"/>
    <w:rsid w:val="00302B89"/>
    <w:rsid w:val="003B6999"/>
    <w:rsid w:val="003C1639"/>
    <w:rsid w:val="0042427C"/>
    <w:rsid w:val="00456B3A"/>
    <w:rsid w:val="0048458D"/>
    <w:rsid w:val="004D79CA"/>
    <w:rsid w:val="005569C2"/>
    <w:rsid w:val="005F124D"/>
    <w:rsid w:val="006614D8"/>
    <w:rsid w:val="00691370"/>
    <w:rsid w:val="006B5A76"/>
    <w:rsid w:val="006F04DA"/>
    <w:rsid w:val="007D1B75"/>
    <w:rsid w:val="007D751D"/>
    <w:rsid w:val="008260EE"/>
    <w:rsid w:val="00873FF0"/>
    <w:rsid w:val="00895B0B"/>
    <w:rsid w:val="0095196D"/>
    <w:rsid w:val="0095594D"/>
    <w:rsid w:val="00AE2E2C"/>
    <w:rsid w:val="00B25E65"/>
    <w:rsid w:val="00BC7549"/>
    <w:rsid w:val="00DE4249"/>
    <w:rsid w:val="00E32164"/>
    <w:rsid w:val="00E66A08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7023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048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48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uiPriority w:val="22"/>
    <w:qFormat/>
    <w:rsid w:val="0010486D"/>
    <w:rPr>
      <w:b/>
      <w:bCs/>
    </w:rPr>
  </w:style>
  <w:style w:type="paragraph" w:styleId="NormalnyWeb">
    <w:name w:val="Normal (Web)"/>
    <w:basedOn w:val="Normalny"/>
    <w:uiPriority w:val="99"/>
    <w:unhideWhenUsed/>
    <w:rsid w:val="00873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73FF0"/>
    <w:rPr>
      <w:i/>
      <w:iCs/>
    </w:rPr>
  </w:style>
  <w:style w:type="paragraph" w:styleId="Akapitzlist">
    <w:name w:val="List Paragraph"/>
    <w:basedOn w:val="Normalny"/>
    <w:uiPriority w:val="34"/>
    <w:qFormat/>
    <w:rsid w:val="0087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1cb1aa24-5898-4171-ad68-fa1adeb243d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CE81A-8B94-46BA-903D-10DB0261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4</cp:revision>
  <dcterms:created xsi:type="dcterms:W3CDTF">2026-01-26T14:11:00Z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