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74BEB5A5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637D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3D4BDC86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C46DF1" w:rsidRPr="00C46D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Human resource management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85DF2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8B184" w14:textId="77777777" w:rsidR="00BC7549" w:rsidRPr="00C46DF1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C46DF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85DF2" w:rsidRPr="00BE72EF" w14:paraId="6693E5C7" w14:textId="77777777" w:rsidTr="00B85DF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85DF2" w:rsidRPr="00456B3A" w:rsidRDefault="00B85DF2" w:rsidP="00B85DF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85DF2" w:rsidRPr="00456B3A" w:rsidRDefault="00B85DF2" w:rsidP="00B85DF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400D0E" w14:textId="6A223C4B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 lectures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ADE0" w14:textId="14C64268" w:rsidR="00B85DF2" w:rsidRPr="00C46DF1" w:rsidRDefault="00B85DF2" w:rsidP="00B85DF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599DE062" w:rsidR="00B85DF2" w:rsidRPr="00C46DF1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85DF2" w:rsidRPr="00BE72EF" w14:paraId="195FEE2B" w14:textId="77777777" w:rsidTr="00B85DF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85DF2" w:rsidRPr="00456B3A" w:rsidRDefault="00B85DF2" w:rsidP="00B85DF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85DF2" w:rsidRPr="00456B3A" w:rsidRDefault="00B85DF2" w:rsidP="00B85DF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685C3C2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D034" w14:textId="068D1B66" w:rsidR="00B85DF2" w:rsidRPr="00C46DF1" w:rsidRDefault="00B85DF2" w:rsidP="00B85DF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85DF2" w:rsidRPr="00C46DF1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85DF2" w:rsidRPr="00456B3A" w:rsidRDefault="00B85DF2" w:rsidP="00B85DF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85DF2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B85DF2" w:rsidRPr="00456B3A" w:rsidRDefault="00B85DF2" w:rsidP="00B85DF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B85DF2" w:rsidRPr="00456B3A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85DF2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85DF2" w:rsidRPr="00456B3A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4DB92CEB" w:rsidR="00B85DF2" w:rsidRPr="00456B3A" w:rsidRDefault="00B85DF2" w:rsidP="00B85DF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85DF2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85DF2" w:rsidRPr="00456B3A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43804565" w:rsidR="00B85DF2" w:rsidRPr="00456B3A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</w:p>
        </w:tc>
      </w:tr>
      <w:tr w:rsidR="00B85DF2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85DF2" w:rsidRPr="00456B3A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85DF2" w:rsidRPr="00456B3A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E6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Learning objectives:</w:t>
            </w:r>
          </w:p>
          <w:p w14:paraId="2487EDBA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C1 To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main issues of human resource management in an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  <w:p w14:paraId="0DB7C2C1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C2 To provide knowledge on possible ways of applying human resource management in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practice.</w:t>
            </w:r>
          </w:p>
          <w:p w14:paraId="5DB712D8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C3 To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human resource management tools aimed at stimulating more effective work. </w:t>
            </w:r>
          </w:p>
          <w:p w14:paraId="535AD32A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C4 To acquire the skills to apply human resource management tools. </w:t>
            </w:r>
          </w:p>
          <w:p w14:paraId="5E63E545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C5. To provide knowledge about the importance of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culture in human resource management. </w:t>
            </w:r>
          </w:p>
          <w:p w14:paraId="74F87D23" w14:textId="52F24810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C6 To increase students' awareness of modern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digitalisation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technologies in human resource management.</w:t>
            </w:r>
          </w:p>
        </w:tc>
      </w:tr>
      <w:tr w:rsidR="00B85DF2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85DF2" w:rsidRPr="007E3565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85DF2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85DF2" w:rsidRPr="00304EF9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85DF2" w:rsidRPr="00304EF9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85DF2" w:rsidRPr="00BC7549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85DF2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85DF2" w:rsidRPr="00304EF9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85DF2" w:rsidRPr="00BC7549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85DF2" w:rsidRPr="001A176B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85DF2" w:rsidRPr="001A176B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85DF2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85DF2" w:rsidRPr="00BC7549" w:rsidRDefault="00B85DF2" w:rsidP="00B85DF2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85DF2" w:rsidRPr="00DD73B6" w14:paraId="40596017" w14:textId="77777777" w:rsidTr="00E33AB8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05417C7B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6DF1">
              <w:rPr>
                <w:rFonts w:ascii="Arial Narrow" w:hAnsi="Arial Narrow"/>
              </w:rPr>
              <w:t>K_W01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25B1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B811E05" w14:textId="77777777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161760DE" w:rsidR="00B85DF2" w:rsidRPr="001A176B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and defines the concepts of human resource management and understands the essence of HRM as a sub-discipline of management.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45A6ECE7" w:rsidR="00B85DF2" w:rsidRPr="00E528A2" w:rsidRDefault="00B85DF2" w:rsidP="00B85DF2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form.</w:t>
            </w:r>
          </w:p>
        </w:tc>
      </w:tr>
      <w:tr w:rsidR="00B85DF2" w:rsidRPr="00DD73B6" w14:paraId="017A6862" w14:textId="77777777" w:rsidTr="00E33AB8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101FDB2F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6DF1">
              <w:rPr>
                <w:rFonts w:ascii="Arial Narrow" w:hAnsi="Arial Narrow"/>
              </w:rPr>
              <w:t>K_W03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26C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3D9AA6A6" w14:textId="77777777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30B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of modern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digitisation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management.</w:t>
            </w:r>
          </w:p>
          <w:p w14:paraId="4ABE9006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Proposes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broader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approach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, as in the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</w:p>
          <w:p w14:paraId="70F7F40F" w14:textId="0BA80469" w:rsidR="00B85DF2" w:rsidRPr="0042043C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recruiting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motivating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assessing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and developing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employees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impact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culture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and modern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technologies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management.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77777777" w:rsidR="00B85DF2" w:rsidRPr="00E528A2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85DF2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85DF2" w:rsidRPr="00BC7549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85DF2" w:rsidRPr="00DD73B6" w14:paraId="5EF07E32" w14:textId="77777777" w:rsidTr="004B2C9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630606CC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6DF1">
              <w:rPr>
                <w:rFonts w:ascii="Arial Narrow" w:hAnsi="Arial Narrow"/>
                <w:lang w:eastAsia="en-US"/>
              </w:rPr>
              <w:lastRenderedPageBreak/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793F9AB2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218B893E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46DF1">
              <w:rPr>
                <w:rFonts w:ascii="Arial Narrow" w:hAnsi="Arial Narrow"/>
                <w:sz w:val="20"/>
                <w:szCs w:val="20"/>
                <w:lang w:val="en-US"/>
              </w:rPr>
              <w:t>The student analyses the activities and instruments of the human resource management process.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13BE6C0E" w:rsidR="00B85DF2" w:rsidRPr="00CE5E35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form.</w:t>
            </w:r>
          </w:p>
        </w:tc>
      </w:tr>
      <w:tr w:rsidR="00B85DF2" w:rsidRPr="00CE5E35" w14:paraId="37B94575" w14:textId="77777777" w:rsidTr="004B2C9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181E8FA9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6DF1">
              <w:rPr>
                <w:rFonts w:ascii="Arial Narrow" w:hAnsi="Arial Narrow"/>
                <w:lang w:eastAsia="en-US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6779F692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6C2F579D" w:rsidR="00B85DF2" w:rsidRPr="002C2FC0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analysing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C46DF1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C46DF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77777777" w:rsidR="00B85DF2" w:rsidRPr="00CE5E35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85DF2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B85DF2" w:rsidRPr="00456B3A" w:rsidRDefault="00B85DF2" w:rsidP="00B85D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B85DF2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441CCEA2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6DF1">
              <w:rPr>
                <w:rFonts w:ascii="Arial Narrow" w:hAnsi="Arial Narrow"/>
              </w:rPr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65C" w14:textId="77777777" w:rsidR="00B85DF2" w:rsidRPr="00C46DF1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46DF1"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7E07A1BF" w14:textId="77777777" w:rsidR="00B85DF2" w:rsidRPr="00C46DF1" w:rsidRDefault="00B85DF2" w:rsidP="00B85DF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00D61E52" w:rsidR="00B85DF2" w:rsidRPr="002C2FC0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take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responsible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approach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managing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03991">
              <w:rPr>
                <w:rFonts w:ascii="Arial Narrow" w:hAnsi="Arial Narrow" w:cs="Arial"/>
                <w:sz w:val="20"/>
                <w:szCs w:val="20"/>
              </w:rPr>
              <w:t>employees</w:t>
            </w:r>
            <w:proofErr w:type="spellEnd"/>
            <w:r w:rsidRPr="00E0399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5AEDF8B5" w:rsidR="00B85DF2" w:rsidRPr="00CE5E35" w:rsidRDefault="00B85DF2" w:rsidP="00B85DF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Exam in written form.</w:t>
            </w:r>
          </w:p>
        </w:tc>
      </w:tr>
      <w:tr w:rsidR="00B85DF2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85DF2" w:rsidRPr="00CE5E35" w:rsidRDefault="00B85DF2" w:rsidP="00B85DF2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85DF2" w:rsidRPr="00CE5E35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85DF2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85DF2" w:rsidRDefault="00B85DF2" w:rsidP="00B85DF2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3C7DC974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</w:t>
            </w:r>
          </w:p>
          <w:p w14:paraId="69013167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356787AD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 </w:t>
            </w:r>
          </w:p>
          <w:p w14:paraId="3FB3F072" w14:textId="2571CD0C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6 h</w:t>
            </w:r>
          </w:p>
          <w:p w14:paraId="751C2552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63F2FC06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D07C36B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34A7888B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7ECA9FD5" w:rsidR="00B85DF2" w:rsidRPr="00A81688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</w:t>
            </w:r>
          </w:p>
          <w:p w14:paraId="75F06957" w14:textId="77777777" w:rsidR="00B85DF2" w:rsidRPr="00A81688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3E62ACBF" w:rsidR="00B85DF2" w:rsidRPr="00A81688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F780A5C" w14:textId="77777777" w:rsidR="00B85DF2" w:rsidRPr="00A81688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85DF2" w:rsidRPr="00A81688" w:rsidRDefault="00B85DF2" w:rsidP="00B85DF2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48AB8C3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672F259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08DF025C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FE7836" w14:textId="6E6A3E1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3C5654DB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3AE8E106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767B7F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426941D2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85A052E" w14:textId="77777777" w:rsidR="00B85DF2" w:rsidRPr="00BC7549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2D7983F" w14:textId="01A0081D" w:rsidR="00B85DF2" w:rsidRPr="00A81688" w:rsidRDefault="00B85DF2" w:rsidP="00B85DF2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6BD3332D" w:rsidR="00B85DF2" w:rsidRPr="00A81688" w:rsidRDefault="00B85DF2" w:rsidP="00B85DF2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Number of ECTS points:</w:t>
            </w:r>
          </w:p>
          <w:p w14:paraId="0A60C8F0" w14:textId="6A89EF14" w:rsidR="00B85DF2" w:rsidRPr="00A81688" w:rsidRDefault="00B85DF2" w:rsidP="00B85DF2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85DF2" w:rsidRPr="00A81688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85DF2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85DF2" w:rsidRPr="00A81688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3A47FAA7" w:rsidR="00B85DF2" w:rsidRPr="00A81688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knowledge of the basics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and management,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B85DF2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85DF2" w:rsidRPr="008846BC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85DF2" w:rsidRPr="008846BC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85DF2" w:rsidRPr="008846BC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85DF2" w:rsidRPr="008846BC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85DF2" w:rsidRPr="008846BC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7A6" w14:textId="4E3F42C3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directly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3CA1B25E" w14:textId="55BE3041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The essence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22448BC1" w14:textId="5CA84EF6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Objectives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3AB22928" w14:textId="68C1BBB8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Conditions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aspects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5FE1A64A" w14:textId="6E02B465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6EB55F03" w14:textId="1F4B5FF5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5.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acquisition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planning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recruitment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selection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adaptation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3F0AF924" w14:textId="6AAC3304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6.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The essence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remuneration</w:t>
            </w:r>
            <w:proofErr w:type="spellEnd"/>
          </w:p>
          <w:p w14:paraId="2304A815" w14:textId="20D05AB8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7.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procedure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>, SOOP)</w:t>
            </w:r>
          </w:p>
          <w:p w14:paraId="04B0E47B" w14:textId="226DBFE6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8.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Human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development</w:t>
            </w:r>
          </w:p>
          <w:p w14:paraId="1139F4AA" w14:textId="25A6B18E" w:rsidR="00B85DF2" w:rsidRPr="00D55D09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9.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impact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culture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4936F806" w14:textId="363258AA" w:rsidR="00B85DF2" w:rsidRPr="00AA0536" w:rsidRDefault="00B85DF2" w:rsidP="00B85DF2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5D09">
              <w:rPr>
                <w:rFonts w:ascii="Arial Narrow" w:hAnsi="Arial Narrow" w:cs="Arial"/>
                <w:sz w:val="20"/>
                <w:szCs w:val="20"/>
              </w:rPr>
              <w:t>10.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Modern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technologies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digitisation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D55D09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D55D09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</w:p>
        </w:tc>
      </w:tr>
      <w:tr w:rsidR="00B85DF2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85DF2" w:rsidRPr="005A6A57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85DF2" w:rsidRPr="005A6A57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BEA" w14:textId="4EEF5D1C" w:rsidR="00637DCA" w:rsidRPr="00637DCA" w:rsidRDefault="00637DCA" w:rsidP="00637DC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37DCA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1</w:t>
            </w:r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. Armstrong, M. (2023). </w:t>
            </w:r>
            <w:r w:rsidRPr="00637DCA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Armstrong’s Handbook of Human Resource Management Practice</w:t>
            </w:r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(17th ed.), </w:t>
            </w:r>
            <w:r w:rsidRPr="00637DCA">
              <w:rPr>
                <w:rFonts w:ascii="Arial Narrow" w:hAnsi="Arial Narrow"/>
                <w:sz w:val="20"/>
                <w:szCs w:val="20"/>
                <w:lang w:val="en-US"/>
              </w:rPr>
              <w:t>Kogan Page.</w:t>
            </w:r>
          </w:p>
          <w:p w14:paraId="724BFD8B" w14:textId="3D219E8F" w:rsidR="00637DCA" w:rsidRPr="00637DCA" w:rsidRDefault="00637DCA" w:rsidP="00637DC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>Dessler</w:t>
            </w:r>
            <w:proofErr w:type="spellEnd"/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G. (2020). </w:t>
            </w:r>
            <w:r w:rsidRPr="00637DCA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Human Resource Management</w:t>
            </w:r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(16th ed.).</w:t>
            </w:r>
            <w:r w:rsidRPr="00637DCA">
              <w:rPr>
                <w:rFonts w:ascii="Arial Narrow" w:hAnsi="Arial Narrow"/>
                <w:sz w:val="20"/>
                <w:szCs w:val="20"/>
                <w:lang w:val="en-US"/>
              </w:rPr>
              <w:br/>
              <w:t>Pearson.</w:t>
            </w:r>
          </w:p>
          <w:p w14:paraId="1E57D601" w14:textId="17E3982C" w:rsidR="00B85DF2" w:rsidRPr="008D49AE" w:rsidRDefault="00637DCA" w:rsidP="00637DC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3. Bratton, J., &amp; Gold, J. (2017). </w:t>
            </w:r>
            <w:r w:rsidRPr="00637DCA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Human Resource Management: Theory and Practice</w:t>
            </w:r>
            <w:r w:rsidRPr="00637DCA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(6th ed.)</w:t>
            </w:r>
            <w:r w:rsid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</w:t>
            </w:r>
            <w:r w:rsidR="00E0424D"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>Palgrave Macmillan.</w:t>
            </w:r>
          </w:p>
        </w:tc>
      </w:tr>
      <w:tr w:rsidR="00B85DF2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85DF2" w:rsidRPr="004E0CD6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D11" w14:textId="7B224522" w:rsidR="00E0424D" w:rsidRPr="00E0424D" w:rsidRDefault="00E0424D" w:rsidP="00E0424D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1. 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Boxall, P., Purcell, J., &amp; Wright, P. (Eds.) (2007, reprint 2021). </w:t>
            </w:r>
            <w:r w:rsidRPr="00E0424D">
              <w:rPr>
                <w:rFonts w:ascii="Arial Narrow" w:hAnsi="Arial Narrow"/>
                <w:sz w:val="20"/>
                <w:szCs w:val="20"/>
                <w:lang w:val="en-US"/>
              </w:rPr>
              <w:t>The Oxford Handbook of Human Resource Management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>. Oxford University Press.</w:t>
            </w:r>
          </w:p>
          <w:p w14:paraId="6D9972C7" w14:textId="1454F2D3" w:rsidR="00E0424D" w:rsidRPr="00E0424D" w:rsidRDefault="00E0424D" w:rsidP="00E0424D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>Storey</w:t>
            </w:r>
            <w:proofErr w:type="spellEnd"/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J., Wright, P., &amp; Ulrich, D. (2019). </w:t>
            </w:r>
            <w:r w:rsidRPr="00E0424D">
              <w:rPr>
                <w:rFonts w:ascii="Arial Narrow" w:hAnsi="Arial Narrow"/>
                <w:sz w:val="20"/>
                <w:szCs w:val="20"/>
                <w:lang w:val="en-US"/>
              </w:rPr>
              <w:t>Strategic Human Resource Management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(4th ed.).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br/>
              <w:t>Routledge.</w:t>
            </w:r>
          </w:p>
          <w:p w14:paraId="4125E035" w14:textId="0A8203DA" w:rsidR="00B85DF2" w:rsidRPr="00E0424D" w:rsidRDefault="00E0424D" w:rsidP="00B85DF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3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. Tyson, S. (2014). </w:t>
            </w:r>
            <w:r w:rsidRPr="00E0424D">
              <w:rPr>
                <w:rFonts w:ascii="Arial Narrow" w:hAnsi="Arial Narrow"/>
                <w:sz w:val="20"/>
                <w:szCs w:val="20"/>
                <w:lang w:val="en-US"/>
              </w:rPr>
              <w:t>Essentials of Human Resource Management</w:t>
            </w:r>
            <w:r w:rsidRPr="00E0424D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(6th ed.), Routledge.</w:t>
            </w:r>
          </w:p>
        </w:tc>
      </w:tr>
      <w:tr w:rsidR="00B85DF2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B85DF2" w:rsidRPr="004E0CD6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 xml:space="preserve">SCIENTIFIC PUBLICATIONS OF </w:t>
            </w: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400" w14:textId="23EF1513" w:rsidR="00B85DF2" w:rsidRPr="008E7330" w:rsidRDefault="00B85DF2" w:rsidP="00B85DF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Dzieńdziora J., Smolarek M., Human Capital as a Determinant of Strategic Human Resources Management in Public Administration on the Example of Poland, Clausius Scientific Press (CSP) </w:t>
            </w: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in Lecture Notes in Economics, Management and Social Sciences (LNEMSS), ISSN 2617-1031. 2019 Clausius Scientific Press (CSP) will submit the CD-ROM to Web of Science CPCI).</w:t>
            </w:r>
          </w:p>
          <w:p w14:paraId="1CEE48AD" w14:textId="282575D6" w:rsidR="00B85DF2" w:rsidRPr="008E7330" w:rsidRDefault="00B85DF2" w:rsidP="00B85DF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Smolarek M., Dzieńdziora J., </w:t>
            </w:r>
            <w:proofErr w:type="spellStart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Jaworska</w:t>
            </w:r>
            <w:proofErr w:type="spellEnd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 M., Organization culture management in enterprises of the SME sector, In: Central European Conference in </w:t>
            </w:r>
            <w:proofErr w:type="spellStart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Finansc</w:t>
            </w:r>
            <w:proofErr w:type="spellEnd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 and Economics (CEFE 2018), Technical University of Kosice, 2018, pp. 427-436</w:t>
            </w:r>
          </w:p>
          <w:p w14:paraId="7C66E2EB" w14:textId="19D347D3" w:rsidR="00B85DF2" w:rsidRPr="008E7330" w:rsidRDefault="00B85DF2" w:rsidP="00B85DF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Smolarek M., Dzieńdziora J.., The strategic human resources management in SME sector, [in:] Liberec XIII. International </w:t>
            </w:r>
            <w:proofErr w:type="spellStart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Scientifice</w:t>
            </w:r>
            <w:proofErr w:type="spellEnd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 „Liberec Economic Forum-LEF 2017 Double-blind peer reviewed proceedings of the international scientific conference Liberec2017, Technical University of Liberec.2017, pp 276-285,</w:t>
            </w:r>
          </w:p>
          <w:p w14:paraId="66E4503F" w14:textId="4CECA6E6" w:rsidR="00B85DF2" w:rsidRPr="004E0CD6" w:rsidRDefault="00B85DF2" w:rsidP="00B85DF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4.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Mousa M. &amp; </w:t>
            </w:r>
            <w:proofErr w:type="spellStart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Abdelgaffar</w:t>
            </w:r>
            <w:proofErr w:type="spellEnd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 H.A. (2021) Work from Home in the Public Sector Context Post-Covid-19: Challenges and Barriers. In: </w:t>
            </w:r>
            <w:proofErr w:type="spellStart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>Farazmand</w:t>
            </w:r>
            <w:proofErr w:type="spellEnd"/>
            <w:r w:rsidRPr="008E7330">
              <w:rPr>
                <w:rFonts w:ascii="Arial Narrow" w:hAnsi="Arial Narrow"/>
                <w:sz w:val="20"/>
                <w:szCs w:val="20"/>
                <w:lang w:val="en-US"/>
              </w:rPr>
              <w:t xml:space="preserve"> A. (eds) Global Encyclopedia of Public Administration, Public Policy, and Governance. Springer, Cham. https://doi.org/10.1007/978-3-319-31816-5_4343-1</w:t>
            </w:r>
          </w:p>
        </w:tc>
      </w:tr>
      <w:tr w:rsidR="00B85DF2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85DF2" w:rsidRPr="00AD137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642CD188" w14:textId="77777777" w:rsidR="00B85DF2" w:rsidRPr="00AD1371" w:rsidRDefault="00B85DF2" w:rsidP="00B85DF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85DF2" w:rsidRPr="00AD1371" w:rsidRDefault="00B85DF2" w:rsidP="00B85DF2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85DF2" w:rsidRPr="00AD1371" w:rsidRDefault="00B85DF2" w:rsidP="00B85DF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088" w14:textId="77777777" w:rsidR="00B85DF2" w:rsidRPr="00606C17" w:rsidRDefault="00B85DF2" w:rsidP="00B85DF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6D01234B" w14:textId="77777777" w:rsidR="00B85DF2" w:rsidRPr="00606C17" w:rsidRDefault="00B85DF2" w:rsidP="00B85DF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with multimedia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Seminar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>, Problem-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, Case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>, Problem-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learning.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Activating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brainstorming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Activating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decision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tree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technique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Activating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- ‘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snowball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’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Activating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constructing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‘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mind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maps</w:t>
            </w:r>
            <w:proofErr w:type="spellEnd"/>
            <w:r w:rsidRPr="00606C17">
              <w:rPr>
                <w:rFonts w:ascii="Arial Narrow" w:hAnsi="Arial Narrow" w:cs="Arial"/>
                <w:sz w:val="20"/>
                <w:szCs w:val="20"/>
              </w:rPr>
              <w:t>’.</w:t>
            </w:r>
          </w:p>
          <w:p w14:paraId="5FB3F80B" w14:textId="77777777" w:rsidR="00B85DF2" w:rsidRPr="00606C17" w:rsidRDefault="00B85DF2" w:rsidP="00B85DF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63FAB52" w14:textId="77777777" w:rsidR="00B85DF2" w:rsidRPr="00606C17" w:rsidRDefault="00B85DF2" w:rsidP="00B85DF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06C17">
              <w:rPr>
                <w:rFonts w:ascii="Arial Narrow" w:hAnsi="Arial Narrow" w:cs="Arial"/>
                <w:sz w:val="20"/>
                <w:szCs w:val="20"/>
              </w:rPr>
              <w:t>In the form of e-learning:</w:t>
            </w:r>
          </w:p>
          <w:p w14:paraId="1C3C8D5A" w14:textId="239C1CCB" w:rsidR="00B85DF2" w:rsidRPr="00AD1371" w:rsidRDefault="00B85DF2" w:rsidP="00B85DF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06C17">
              <w:rPr>
                <w:rFonts w:ascii="Arial Narrow" w:hAnsi="Arial Narrow" w:cs="Arial"/>
                <w:sz w:val="20"/>
                <w:szCs w:val="20"/>
              </w:rPr>
              <w:t xml:space="preserve">Not </w:t>
            </w:r>
            <w:proofErr w:type="spellStart"/>
            <w:r w:rsidRPr="00606C17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85DF2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85DF2" w:rsidRPr="00DC666F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578FAAB5" w:rsidR="00B85DF2" w:rsidRPr="00DC666F" w:rsidRDefault="00B85DF2" w:rsidP="00B85DF2">
            <w:pPr>
              <w:tabs>
                <w:tab w:val="left" w:pos="2316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06C17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presentations, diagrams, journal articles, case studies.</w:t>
            </w:r>
          </w:p>
        </w:tc>
      </w:tr>
      <w:tr w:rsidR="00B85DF2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85DF2" w:rsidRPr="00BD265B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85DF2" w:rsidRPr="00BD265B" w:rsidRDefault="00B85DF2" w:rsidP="00B85DF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85DF2" w:rsidRPr="00BD265B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7D319386" w:rsidR="00B85DF2" w:rsidRDefault="00B85DF2" w:rsidP="00B85DF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  <w:p w14:paraId="1237967E" w14:textId="77777777" w:rsidR="00B85DF2" w:rsidRPr="00606C17" w:rsidRDefault="00B85DF2" w:rsidP="00B85DF2">
            <w:pPr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85DF2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85DF2" w:rsidRPr="00BD265B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64FD668C" w:rsidR="00B85DF2" w:rsidRPr="00BD265B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Pass with 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  <w:tr w:rsidR="00B85DF2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85DF2" w:rsidRPr="00BD265B" w:rsidRDefault="00B85DF2" w:rsidP="00B85DF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12D1F310" w:rsidR="00B85DF2" w:rsidRPr="00BD265B" w:rsidRDefault="00B85DF2" w:rsidP="00B85DF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(test). In order to pass the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7224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4B7224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276D78"/>
    <w:rsid w:val="0037147A"/>
    <w:rsid w:val="003B6999"/>
    <w:rsid w:val="0043080F"/>
    <w:rsid w:val="00456B3A"/>
    <w:rsid w:val="004B7224"/>
    <w:rsid w:val="005F124D"/>
    <w:rsid w:val="00606C17"/>
    <w:rsid w:val="00637DCA"/>
    <w:rsid w:val="0066354C"/>
    <w:rsid w:val="006B1AEB"/>
    <w:rsid w:val="006B5A76"/>
    <w:rsid w:val="007D751D"/>
    <w:rsid w:val="008E7330"/>
    <w:rsid w:val="0095196D"/>
    <w:rsid w:val="0095594D"/>
    <w:rsid w:val="009A1AD2"/>
    <w:rsid w:val="00AB094A"/>
    <w:rsid w:val="00AE2E2C"/>
    <w:rsid w:val="00B8511F"/>
    <w:rsid w:val="00B85DF2"/>
    <w:rsid w:val="00BC7549"/>
    <w:rsid w:val="00C46DF1"/>
    <w:rsid w:val="00D55D09"/>
    <w:rsid w:val="00E03991"/>
    <w:rsid w:val="00E0424D"/>
    <w:rsid w:val="00E873DD"/>
    <w:rsid w:val="00EC0987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46DF1"/>
    <w:pPr>
      <w:spacing w:after="0" w:line="360" w:lineRule="auto"/>
    </w:pPr>
    <w:rPr>
      <w:rFonts w:ascii="Times New Roman" w:hAnsi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6DF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637D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37DCA"/>
    <w:rPr>
      <w:b/>
      <w:bCs/>
    </w:rPr>
  </w:style>
  <w:style w:type="character" w:styleId="Uwydatnienie">
    <w:name w:val="Emphasis"/>
    <w:basedOn w:val="Domylnaczcionkaakapitu"/>
    <w:uiPriority w:val="20"/>
    <w:qFormat/>
    <w:rsid w:val="00637D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1cb1aa24-5898-4171-ad68-fa1adeb243de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9EC93-6824-40F4-9D27-55A28DD0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15</cp:revision>
  <dcterms:created xsi:type="dcterms:W3CDTF">2026-01-23T07:01:00Z</dcterms:created>
  <dcterms:modified xsi:type="dcterms:W3CDTF">2026-02-27T10:16:00Z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