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930"/>
        <w:gridCol w:w="204"/>
        <w:gridCol w:w="932"/>
        <w:gridCol w:w="1136"/>
        <w:gridCol w:w="1136"/>
        <w:gridCol w:w="340"/>
        <w:gridCol w:w="708"/>
        <w:gridCol w:w="1083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6DC03C62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AA63DE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Field of study: Management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</w:t>
            </w: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1EA61A03" w:rsidR="00BC7549" w:rsidRPr="002C1A05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E37D8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Production processes in the company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2C1A05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2C1A05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2C1A0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2C1A0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0A3E73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2C1A05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2C1A05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2C1A05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0A3E73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2C1A0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2C1A0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154D90DF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  <w:r w:rsidR="00E37D83">
              <w:rPr>
                <w:rFonts w:ascii="Arial Narrow" w:hAnsi="Arial Narrow" w:cs="Arial"/>
                <w:b/>
                <w:sz w:val="20"/>
                <w:szCs w:val="20"/>
              </w:rPr>
              <w:t xml:space="preserve">0 h </w:t>
            </w:r>
            <w:proofErr w:type="spellStart"/>
            <w:r w:rsidRPr="002C1A05">
              <w:rPr>
                <w:rFonts w:ascii="Arial Narrow" w:hAnsi="Arial Narrow" w:cs="Arial"/>
                <w:b/>
                <w:sz w:val="20"/>
                <w:szCs w:val="20"/>
              </w:rPr>
              <w:t>excercises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2C1A05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0A3E73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3F5658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2C1A05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3F5658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5BBB72C2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412E5BB6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2A8129CA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382CE79A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2DBDC1C8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-</w:t>
            </w:r>
          </w:p>
        </w:tc>
        <w:tc>
          <w:tcPr>
            <w:tcW w:w="108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63BFF064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55762B41" w:rsidR="00BC7549" w:rsidRPr="002C1A05" w:rsidRDefault="00E37D83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-</w:t>
            </w: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2C1A05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2C1A05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2C1A05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7F173077" w:rsidR="00BC7549" w:rsidRPr="002C1A05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2C1A0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2C1A05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2C1A05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2C1A05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2C1A05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2C1A05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16F7" w14:textId="23BAD152" w:rsidR="00BC7549" w:rsidRPr="002C1A05" w:rsidRDefault="00E37D83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  <w:lang w:val="en-US"/>
              </w:rPr>
              <w:t>Familiarising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basic concepts related to processes and production processes, and presenting students with real-life examples of production processes implemented in companies.</w:t>
            </w: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E37D83" w:rsidRPr="00DD73B6" w14:paraId="40596017" w14:textId="77777777" w:rsidTr="00CF7CD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538E09CA" w:rsidR="00E37D83" w:rsidRPr="00304EF9" w:rsidRDefault="00E37D83" w:rsidP="00E37D8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K_W14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A66D9" w14:textId="77777777" w:rsidR="00E37D83" w:rsidRDefault="00E37D83" w:rsidP="00E37D8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P6S_WG</w:t>
            </w:r>
          </w:p>
          <w:p w14:paraId="3A543E38" w14:textId="77777777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  <w:p w14:paraId="2B811E05" w14:textId="77777777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79F7" w14:textId="0029648A" w:rsidR="00E37D83" w:rsidRPr="001A176B" w:rsidRDefault="00E37D83" w:rsidP="00E37D8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E37D83">
              <w:rPr>
                <w:rFonts w:ascii="Arial Narrow" w:hAnsi="Arial Narrow" w:cs="Arial"/>
                <w:sz w:val="20"/>
                <w:szCs w:val="20"/>
                <w:lang w:val="en-US"/>
              </w:rPr>
              <w:t>The student has an advanced knowledge and understanding of the essence of production processes in an enterprise, including the principles of MRP systems and the production technologies used.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8AB88" w14:textId="762F7F5B" w:rsidR="00E37D83" w:rsidRPr="00E528A2" w:rsidRDefault="00E37D83" w:rsidP="00E37D83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Discussion</w:t>
            </w:r>
            <w:proofErr w:type="spellEnd"/>
            <w:r w:rsidRPr="00E37D8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after</w:t>
            </w:r>
            <w:proofErr w:type="spellEnd"/>
            <w:r w:rsidRPr="00E37D83">
              <w:rPr>
                <w:rFonts w:ascii="Arial Narrow" w:hAnsi="Arial Narrow"/>
                <w:bCs/>
                <w:sz w:val="20"/>
                <w:szCs w:val="20"/>
              </w:rPr>
              <w:t xml:space="preserve"> the </w:t>
            </w: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class</w:t>
            </w:r>
            <w:proofErr w:type="spellEnd"/>
            <w:r w:rsidRPr="00E37D83">
              <w:rPr>
                <w:rFonts w:ascii="Arial Narrow" w:hAnsi="Arial Narrow"/>
                <w:bCs/>
                <w:sz w:val="20"/>
                <w:szCs w:val="20"/>
              </w:rPr>
              <w:t xml:space="preserve">, </w:t>
            </w: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completion</w:t>
            </w:r>
            <w:proofErr w:type="spellEnd"/>
            <w:r w:rsidRPr="00E37D83">
              <w:rPr>
                <w:rFonts w:ascii="Arial Narrow" w:hAnsi="Arial Narrow"/>
                <w:bCs/>
                <w:sz w:val="20"/>
                <w:szCs w:val="20"/>
              </w:rPr>
              <w:t xml:space="preserve"> of </w:t>
            </w: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case</w:t>
            </w:r>
            <w:proofErr w:type="spellEnd"/>
            <w:r w:rsidRPr="00E37D8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study</w:t>
            </w:r>
            <w:proofErr w:type="spellEnd"/>
            <w:r w:rsidRPr="00E37D83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/>
                <w:bCs/>
                <w:sz w:val="20"/>
                <w:szCs w:val="20"/>
              </w:rPr>
              <w:t>exercises</w:t>
            </w:r>
            <w:proofErr w:type="spellEnd"/>
          </w:p>
        </w:tc>
      </w:tr>
      <w:tr w:rsidR="00E37D83" w:rsidRPr="00DD73B6" w14:paraId="017A6862" w14:textId="77777777" w:rsidTr="00CF7CD3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A79" w14:textId="46CE8425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K_W08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A6A6" w14:textId="77777777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F40F" w14:textId="4AE717C3" w:rsidR="00E37D83" w:rsidRPr="0042043C" w:rsidRDefault="00E37D83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selecting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measures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assessing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77777777" w:rsidR="00E37D83" w:rsidRPr="00E528A2" w:rsidRDefault="00E37D83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E37D83" w:rsidRPr="00DD73B6" w14:paraId="5EF07E32" w14:textId="77777777" w:rsidTr="009A7E6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518" w14:textId="413B0DBE" w:rsidR="00E37D83" w:rsidRPr="00E37D83" w:rsidRDefault="00E37D83" w:rsidP="00E37D83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K_U01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C8F97" w14:textId="7906970C" w:rsidR="00E37D83" w:rsidRPr="00E37D83" w:rsidRDefault="00E37D83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E37D83">
              <w:rPr>
                <w:rFonts w:ascii="Arial Narrow" w:hAnsi="Arial Narrow"/>
              </w:rPr>
              <w:t>P6S_UW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FA2" w14:textId="49ED70F6" w:rsidR="00E37D83" w:rsidRPr="00E37D83" w:rsidRDefault="00E37D83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37D83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is able to describe and </w:t>
            </w:r>
            <w:proofErr w:type="spellStart"/>
            <w:r w:rsidRPr="00E37D83">
              <w:rPr>
                <w:rFonts w:ascii="Arial Narrow" w:hAnsi="Arial Narrow"/>
                <w:sz w:val="20"/>
                <w:szCs w:val="20"/>
                <w:lang w:val="en-US"/>
              </w:rPr>
              <w:t>analyse</w:t>
            </w:r>
            <w:proofErr w:type="spellEnd"/>
            <w:r w:rsidRPr="00E37D83">
              <w:rPr>
                <w:rFonts w:ascii="Arial Narrow" w:hAnsi="Arial Narrow"/>
                <w:sz w:val="20"/>
                <w:szCs w:val="20"/>
                <w:lang w:val="en-US"/>
              </w:rPr>
              <w:t xml:space="preserve"> production processes and technologies using the example of a selected company, taking into account the MRP system.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B1425" w14:textId="5BB7113C" w:rsidR="00E37D83" w:rsidRPr="00CE5E35" w:rsidRDefault="00E37D83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Completing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E37D83" w:rsidRPr="00CE5E35" w14:paraId="37B94575" w14:textId="77777777" w:rsidTr="009A7E6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027E4573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K_U03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3C747" w14:textId="77777777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58DD716A" w:rsidR="00E37D83" w:rsidRPr="002C2FC0" w:rsidRDefault="00E37D83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select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appropriate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selecting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6BD4F" w14:textId="77777777" w:rsidR="00E37D83" w:rsidRPr="00CE5E35" w:rsidRDefault="00E37D83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E37D83" w:rsidRPr="00CE5E35" w14:paraId="2C7326D6" w14:textId="77777777" w:rsidTr="009A7E67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0C03142D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77777777" w:rsidR="00E37D83" w:rsidRPr="00304EF9" w:rsidRDefault="00E37D83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D4F5" w14:textId="13FFD6BB" w:rsidR="00E37D83" w:rsidRPr="002C2FC0" w:rsidRDefault="00E37D83" w:rsidP="00BC754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assess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using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metrics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E37D83" w:rsidRPr="00CE5E35" w:rsidRDefault="00E37D83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DD73B6" w14:paraId="2B41BF85" w14:textId="77777777" w:rsidTr="00BC7549">
        <w:trPr>
          <w:trHeight w:val="84"/>
        </w:trPr>
        <w:tc>
          <w:tcPr>
            <w:tcW w:w="93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514145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SOCIAL COMPETENCES</w:t>
            </w:r>
          </w:p>
        </w:tc>
      </w:tr>
    </w:tbl>
    <w:p w14:paraId="145D27C9" w14:textId="77777777" w:rsidR="00BC7549" w:rsidRPr="009C0917" w:rsidRDefault="00BC7549" w:rsidP="00BC7549">
      <w:r w:rsidRPr="00FE250A">
        <w:rPr>
          <w:color w:val="EE0000"/>
        </w:rPr>
        <w:br w:type="page"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20"/>
        <w:gridCol w:w="1056"/>
        <w:gridCol w:w="1498"/>
        <w:gridCol w:w="2046"/>
        <w:gridCol w:w="2693"/>
      </w:tblGrid>
      <w:tr w:rsidR="00E37D83" w:rsidRPr="009C0917" w14:paraId="051EF835" w14:textId="77777777" w:rsidTr="00BC7549">
        <w:trPr>
          <w:trHeight w:val="278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1506" w14:textId="742941E4" w:rsidR="00E37D83" w:rsidRPr="00E37D83" w:rsidRDefault="00E37D83" w:rsidP="00E37D8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</w:rPr>
            </w:pPr>
            <w:r w:rsidRPr="00E37D83">
              <w:rPr>
                <w:rFonts w:ascii="Arial Narrow" w:hAnsi="Arial Narrow"/>
              </w:rPr>
              <w:lastRenderedPageBreak/>
              <w:t>K_K02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5A34" w14:textId="6DD1BB84" w:rsidR="00E37D83" w:rsidRPr="00E37D83" w:rsidRDefault="00E37D83" w:rsidP="00E37D8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</w:rPr>
            </w:pPr>
            <w:r w:rsidRPr="00E37D83">
              <w:rPr>
                <w:rFonts w:ascii="Arial Narrow" w:hAnsi="Arial Narrow"/>
              </w:rPr>
              <w:t>P6S_KR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C6C0" w14:textId="2F8BB7FC" w:rsidR="00E37D83" w:rsidRPr="009C0917" w:rsidRDefault="00E37D83" w:rsidP="00E37D8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prepared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responsibly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evaluate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863E" w14:textId="765C862F" w:rsidR="00E37D83" w:rsidRPr="009C0917" w:rsidRDefault="00E37D83" w:rsidP="00E37D8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Guided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teamwork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individual</w:t>
            </w:r>
            <w:proofErr w:type="spellEnd"/>
            <w:r w:rsidRPr="00E37D8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37D83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6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4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02A62392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  <w:r w:rsidR="00E37D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10 h</w:t>
            </w:r>
          </w:p>
          <w:p w14:paraId="6DD12012" w14:textId="37B4B938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  <w:r w:rsidR="00E37D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0,5 h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5AC0AEDE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  <w:r w:rsidR="00FB21AB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2 h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4C5167D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  <w:r w:rsidR="00FB21A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 12,5 h</w:t>
            </w:r>
          </w:p>
          <w:p w14:paraId="75F06957" w14:textId="54371EB8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  <w:r w:rsidR="00FB21A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0,5</w:t>
            </w:r>
          </w:p>
          <w:p w14:paraId="2306304F" w14:textId="43503DA5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  <w:r w:rsidR="00FB21A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0,5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2"/>
          </w:tcPr>
          <w:p w14:paraId="7B324615" w14:textId="77777777" w:rsidR="00BC7549" w:rsidRPr="003F565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3F5658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6085A9FF" w14:textId="5EB5CE62" w:rsidR="00BC7549" w:rsidRPr="003F5658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02D7983F" w14:textId="0EAA96E5" w:rsidR="00BC7549" w:rsidRPr="003F565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215B66F3" w:rsidR="00BC7549" w:rsidRPr="003F565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5694B11C" w:rsidR="00BC7549" w:rsidRPr="003F565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3F565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4202B998" w:rsidR="00BC7549" w:rsidRPr="00A81688" w:rsidRDefault="00FB21AB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333B" w14:textId="77777777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in person:</w:t>
            </w:r>
          </w:p>
          <w:p w14:paraId="1681112A" w14:textId="0FCA80AD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MRP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example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</w:p>
          <w:p w14:paraId="707C2A9B" w14:textId="424A7900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technologies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example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</w:p>
          <w:p w14:paraId="667B7EE8" w14:textId="5BD09F92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on the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example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of a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</w:p>
          <w:p w14:paraId="2AC07B33" w14:textId="06C8DEF2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selecting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processes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; </w:t>
            </w:r>
          </w:p>
          <w:p w14:paraId="6BA67289" w14:textId="0788A9B6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•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Measures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assessing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production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</w:p>
          <w:p w14:paraId="4936F806" w14:textId="6B84E6A8" w:rsidR="00BC7549" w:rsidRPr="00AA0536" w:rsidRDefault="00FB21AB" w:rsidP="00FB21AB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via e-learning: Not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1A2" w14:textId="3AB52994" w:rsidR="00216837" w:rsidRDefault="00216837" w:rsidP="0021683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16837">
              <w:rPr>
                <w:rFonts w:ascii="Arial Narrow" w:hAnsi="Arial Narrow"/>
                <w:sz w:val="20"/>
                <w:szCs w:val="20"/>
                <w:lang w:val="en-US"/>
              </w:rPr>
              <w:t>Jeffrey K. Liker, The Toyota Way: 14 Management Principles from the World's Greatest Manufacturer, McGraw-Hill, 2004</w:t>
            </w:r>
          </w:p>
          <w:p w14:paraId="031E4000" w14:textId="006B980F" w:rsidR="00216837" w:rsidRPr="00216837" w:rsidRDefault="00216837" w:rsidP="0021683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216837">
              <w:rPr>
                <w:rFonts w:ascii="Arial Narrow" w:hAnsi="Arial Narrow"/>
                <w:sz w:val="20"/>
                <w:szCs w:val="20"/>
                <w:lang w:val="en-US"/>
              </w:rPr>
              <w:t>G. Kawasaki, The Art of the Start 2.0: The Time-Tested, Battle-Hardened Guide for Anyone Starting Anything, Portfolio, 2015</w:t>
            </w:r>
          </w:p>
          <w:p w14:paraId="1E57D601" w14:textId="7572E792" w:rsidR="00BC7549" w:rsidRPr="008D49AE" w:rsidRDefault="00BC7549" w:rsidP="00216837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7720" w14:textId="2371FB71" w:rsidR="00FB21AB" w:rsidRPr="00FB21AB" w:rsidRDefault="00FB21AB" w:rsidP="00FB21AB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Lemańska-Majdzik</w:t>
            </w:r>
            <w:proofErr w:type="spellEnd"/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 xml:space="preserve">, Anna, and Małgorzata </w:t>
            </w:r>
            <w:proofErr w:type="spellStart"/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Okręglicka</w:t>
            </w:r>
            <w:proofErr w:type="spellEnd"/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. "Identification of business processes in an enterprise management." Procedia Economics and Finance 27 (2015): 394-403.</w:t>
            </w:r>
          </w:p>
          <w:p w14:paraId="4125E035" w14:textId="1DF134DC" w:rsidR="00BC7549" w:rsidRPr="004E0CD6" w:rsidRDefault="00FB21AB" w:rsidP="00FB21AB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•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Chromjakova</w:t>
            </w:r>
            <w:proofErr w:type="spellEnd"/>
            <w:r w:rsidRPr="00FB21AB">
              <w:rPr>
                <w:rFonts w:ascii="Arial Narrow" w:hAnsi="Arial Narrow"/>
                <w:sz w:val="20"/>
                <w:szCs w:val="20"/>
                <w:lang w:val="en-US"/>
              </w:rPr>
              <w:t>, Felicita. "The key principles of process manager motivation in production and administration processes in an industrial enterprise." Journal of Competitiveness (2016).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503F" w14:textId="40F68203" w:rsidR="006B5A76" w:rsidRPr="004E0CD6" w:rsidRDefault="00FB21AB" w:rsidP="00BC7549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Not applicable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FB3A" w14:textId="77777777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In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direct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form:</w:t>
            </w:r>
          </w:p>
          <w:p w14:paraId="7413DC13" w14:textId="54890614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visit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observation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being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implemented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38D6281C" w14:textId="39226FA2" w:rsidR="00FB21AB" w:rsidRPr="00FB21AB" w:rsidRDefault="00FB21AB" w:rsidP="00FB21A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  <w:p w14:paraId="1C3C8D5A" w14:textId="0ACD815B" w:rsidR="00BC7549" w:rsidRPr="00AD1371" w:rsidRDefault="00FB21AB" w:rsidP="00FB21AB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</w:rPr>
              <w:t xml:space="preserve">In e-learning form: Not </w:t>
            </w:r>
            <w:proofErr w:type="spellStart"/>
            <w:r w:rsidRPr="00FB21AB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6360" w14:textId="48621F16" w:rsidR="00BC7549" w:rsidRPr="00DC666F" w:rsidRDefault="00FB21AB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FB21AB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presentation, mini-lecture (introducing the company's activities – held before the study visit)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5BC4272F" w:rsidR="00BC7549" w:rsidRPr="00BD265B" w:rsidRDefault="00FB21AB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 xml:space="preserve">METHOD OF PASSING 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44F81" w14:textId="52283F0E" w:rsidR="00BC7549" w:rsidRPr="00BD265B" w:rsidRDefault="004A0364" w:rsidP="004311CC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: pass with a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FORM AND CONDITIONS OF PASSING</w:t>
            </w:r>
          </w:p>
        </w:tc>
        <w:tc>
          <w:tcPr>
            <w:tcW w:w="7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3476" w14:textId="65F6F9CC" w:rsidR="004A0364" w:rsidRPr="004A0364" w:rsidRDefault="004A0364" w:rsidP="004A036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0364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conducting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case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study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presenting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results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in the form of a multimedia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presentation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77E6E60B" w14:textId="60D5257A" w:rsidR="00BC7549" w:rsidRPr="00BD265B" w:rsidRDefault="004A0364" w:rsidP="004A0364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4A0364">
              <w:rPr>
                <w:rFonts w:ascii="Arial Narrow" w:hAnsi="Arial Narrow" w:cs="Arial"/>
                <w:sz w:val="20"/>
                <w:szCs w:val="20"/>
              </w:rPr>
              <w:t>•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In order to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a pass,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receive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in the Framework System for Student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proofErr w:type="spellStart"/>
            <w:r w:rsidRPr="004A0364">
              <w:rPr>
                <w:rFonts w:ascii="Arial Narrow" w:hAnsi="Arial Narrow" w:cs="Arial"/>
                <w:sz w:val="20"/>
                <w:szCs w:val="20"/>
              </w:rPr>
              <w:t>Academy</w:t>
            </w:r>
            <w:proofErr w:type="spellEnd"/>
            <w:r w:rsidRPr="004A0364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38E9"/>
    <w:multiLevelType w:val="hybridMultilevel"/>
    <w:tmpl w:val="1D34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A3E73"/>
    <w:rsid w:val="00216837"/>
    <w:rsid w:val="00276D78"/>
    <w:rsid w:val="002A0DFA"/>
    <w:rsid w:val="002C1A05"/>
    <w:rsid w:val="003B6999"/>
    <w:rsid w:val="003F5658"/>
    <w:rsid w:val="004A0364"/>
    <w:rsid w:val="005326ED"/>
    <w:rsid w:val="00590E1B"/>
    <w:rsid w:val="005F124D"/>
    <w:rsid w:val="006B5A76"/>
    <w:rsid w:val="007D751D"/>
    <w:rsid w:val="0095196D"/>
    <w:rsid w:val="0095594D"/>
    <w:rsid w:val="00AE2E2C"/>
    <w:rsid w:val="00BC7549"/>
    <w:rsid w:val="00E37D83"/>
    <w:rsid w:val="00FB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16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2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cb1aa24-5898-4171-ad68-fa1adeb243de"/>
  </ds:schemaRefs>
</ds:datastoreItem>
</file>

<file path=customXml/itemProps4.xml><?xml version="1.0" encoding="utf-8"?>
<ds:datastoreItem xmlns:ds="http://schemas.openxmlformats.org/officeDocument/2006/customXml" ds:itemID="{2860FB52-D17C-46DF-B191-CFD024717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9</cp:revision>
  <cp:lastPrinted>2026-01-25T12:53:00Z</cp:lastPrinted>
  <dcterms:created xsi:type="dcterms:W3CDTF">2026-01-19T07:34:00Z</dcterms:created>
  <dcterms:modified xsi:type="dcterms:W3CDTF">2026-02-27T09:41:00Z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