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14BA00F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B0B6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64512B2A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C83CCE" w:rsidRPr="00C83CC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Employee appraisal system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C1C57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BC1C5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1C57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FF7DF" w14:textId="77777777" w:rsidR="00BC7549" w:rsidRPr="00BC1C57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1C57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BC1C5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6543CFD7" w:rsidR="00BC7549" w:rsidRPr="00BC1C5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C441E" w14:textId="4F5FA6D4" w:rsidR="00BC7549" w:rsidRPr="00BC1C57" w:rsidRDefault="00BC1C57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22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/25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C1C5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BC1C5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55E44081" w:rsidR="00BC7549" w:rsidRPr="007468DF" w:rsidRDefault="00BC7549" w:rsidP="007468DF">
            <w:pPr>
              <w:pStyle w:val="Standard"/>
              <w:widowControl/>
              <w:rPr>
                <w:rFonts w:ascii="Arial Narrow" w:hAnsi="Arial Narrow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577F44CD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="00E973A7">
              <w:rPr>
                <w:rFonts w:ascii="Arial Narrow" w:hAnsi="Arial Narrow" w:cs="Arial"/>
                <w:sz w:val="20"/>
                <w:szCs w:val="20"/>
              </w:rPr>
              <w:t>/Project</w:t>
            </w:r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8C5" w14:textId="77777777" w:rsidR="002C162F" w:rsidRPr="002C162F" w:rsidRDefault="002C162F" w:rsidP="002C16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C16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● Providing participants with knowledge on the creation, implementation and functioning of employee appraisal systems.  </w:t>
            </w:r>
          </w:p>
          <w:p w14:paraId="7D920409" w14:textId="77777777" w:rsidR="002C162F" w:rsidRPr="002C162F" w:rsidRDefault="002C162F" w:rsidP="002C16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C16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● </w:t>
            </w:r>
            <w:proofErr w:type="spellStart"/>
            <w:r w:rsidRPr="002C162F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2C16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principles of conducting an appraisal interview correctly (as the most important part of the periodic appraisal system). </w:t>
            </w:r>
          </w:p>
          <w:p w14:paraId="681216F7" w14:textId="65B1CF7E" w:rsidR="00BC7549" w:rsidRPr="00456B3A" w:rsidRDefault="002C162F" w:rsidP="002C16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C162F">
              <w:rPr>
                <w:rFonts w:ascii="Arial Narrow" w:hAnsi="Arial Narrow" w:cs="Arial"/>
                <w:sz w:val="20"/>
                <w:szCs w:val="20"/>
                <w:lang w:val="en-US"/>
              </w:rPr>
              <w:t>● Discussing psychological barriers to assessing others and the mistakes most commonly made by assessors.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D07F8C" w:rsidRPr="00DD73B6" w14:paraId="40596017" w14:textId="77777777" w:rsidTr="003163A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49154E67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516D91EC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4FC55337" w:rsidR="00D07F8C" w:rsidRPr="001A176B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F088F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the objectives and main principle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6A6F6AC7" w:rsidR="00D07F8C" w:rsidRPr="00E528A2" w:rsidRDefault="00D07F8C" w:rsidP="00440ABA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D07F8C">
              <w:rPr>
                <w:rFonts w:ascii="Arial Narrow" w:hAnsi="Arial Narrow"/>
                <w:bCs/>
                <w:sz w:val="20"/>
                <w:szCs w:val="20"/>
              </w:rPr>
              <w:t>multiple</w:t>
            </w:r>
            <w:proofErr w:type="spellEnd"/>
            <w:r w:rsidRPr="00D07F8C">
              <w:rPr>
                <w:rFonts w:ascii="Arial Narrow" w:hAnsi="Arial Narrow"/>
                <w:bCs/>
                <w:sz w:val="20"/>
                <w:szCs w:val="20"/>
              </w:rPr>
              <w:t>-choice test</w:t>
            </w:r>
          </w:p>
        </w:tc>
      </w:tr>
      <w:tr w:rsidR="00D07F8C" w:rsidRPr="00DD73B6" w14:paraId="017A6862" w14:textId="77777777" w:rsidTr="003163A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7383E6AB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974" w14:textId="77777777" w:rsidR="00D07F8C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3D9AA6A6" w14:textId="60842061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0C43011F" w:rsidR="00D07F8C" w:rsidRPr="0042043C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types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8F088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F088F">
              <w:rPr>
                <w:rFonts w:ascii="Arial Narrow" w:hAnsi="Arial Narrow" w:cs="Arial"/>
                <w:sz w:val="20"/>
                <w:szCs w:val="20"/>
              </w:rPr>
              <w:t>formulation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D07F8C" w:rsidRPr="00E528A2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07F8C" w:rsidRPr="00DD73B6" w14:paraId="1365E281" w14:textId="77777777" w:rsidTr="003163A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5CC" w14:textId="47DB0FE4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1D3" w14:textId="77777777" w:rsidR="00D07F8C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  <w:p w14:paraId="216814AB" w14:textId="4B0476E1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39624108" w:rsidR="00D07F8C" w:rsidRPr="0042043C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sheets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859F" w14:textId="77777777" w:rsidR="00D07F8C" w:rsidRPr="00E528A2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D07F8C" w:rsidRPr="00DD73B6" w14:paraId="52A1BFA9" w14:textId="77777777" w:rsidTr="003163A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C1D" w14:textId="05517DAB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8CA" w14:textId="224EBA20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893" w14:textId="04179C3E" w:rsidR="00D07F8C" w:rsidRPr="0042043C" w:rsidRDefault="00D07F8C" w:rsidP="008F088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conducting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interview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takes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motivational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constructive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feedback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A50D" w14:textId="77777777" w:rsidR="00D07F8C" w:rsidRPr="00E528A2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D07F8C" w:rsidRPr="00DD73B6" w14:paraId="4758BD8B" w14:textId="77777777" w:rsidTr="003163AB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C3D" w14:textId="41472F86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83D" w14:textId="62F6EF9C" w:rsidR="00D07F8C" w:rsidRPr="00304EF9" w:rsidRDefault="00D07F8C" w:rsidP="00440AB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253" w14:textId="7116434D" w:rsidR="00D07F8C" w:rsidRPr="0042043C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psychological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errors</w:t>
            </w:r>
            <w:proofErr w:type="spellEnd"/>
            <w:r w:rsidRPr="00850FBF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850FBF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ECA" w14:textId="77777777" w:rsidR="00D07F8C" w:rsidRPr="00E528A2" w:rsidRDefault="00D07F8C" w:rsidP="00440AB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CE217A" w:rsidRPr="00DD73B6" w14:paraId="5EF07E32" w14:textId="77777777" w:rsidTr="00E7541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117FEDC3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K_U01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73D10BE8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1D2A850D" w:rsidR="00CE217A" w:rsidRPr="00C00E45" w:rsidRDefault="00CE217A" w:rsidP="0017049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  the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mistakes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made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stage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constructing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performance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9526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52633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39F38E3C" w:rsidR="00CE217A" w:rsidRPr="00CE5E35" w:rsidRDefault="00CE217A" w:rsidP="0017049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E217A">
              <w:rPr>
                <w:rFonts w:ascii="Arial Narrow" w:hAnsi="Arial Narrow" w:cs="Arial"/>
                <w:sz w:val="20"/>
                <w:szCs w:val="20"/>
              </w:rPr>
              <w:t xml:space="preserve">Project </w:t>
            </w:r>
            <w:proofErr w:type="spellStart"/>
            <w:r w:rsidRPr="00CE217A">
              <w:rPr>
                <w:rFonts w:ascii="Arial Narrow" w:hAnsi="Arial Narrow" w:cs="Arial"/>
                <w:sz w:val="20"/>
                <w:szCs w:val="20"/>
              </w:rPr>
              <w:t>task</w:t>
            </w:r>
            <w:proofErr w:type="spellEnd"/>
          </w:p>
        </w:tc>
      </w:tr>
      <w:tr w:rsidR="00CE217A" w:rsidRPr="00CE5E35" w14:paraId="37B94575" w14:textId="77777777" w:rsidTr="00E7541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35C2BAB8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0A81ED01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2F676CC9" w:rsidR="00CE217A" w:rsidRPr="002C2FC0" w:rsidRDefault="00CE217A" w:rsidP="00445B6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distinguish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incorrect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performance </w:t>
            </w:r>
            <w:proofErr w:type="spellStart"/>
            <w:r w:rsidRPr="00445B6E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445B6E">
              <w:rPr>
                <w:rFonts w:ascii="Arial Narrow" w:hAnsi="Arial Narrow" w:cs="Arial"/>
                <w:sz w:val="20"/>
                <w:szCs w:val="20"/>
              </w:rPr>
              <w:t xml:space="preserve"> interview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CE217A" w:rsidRPr="00CE5E35" w:rsidRDefault="00CE217A" w:rsidP="0017049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CE217A" w:rsidRPr="00CE5E35" w14:paraId="2C7326D6" w14:textId="77777777" w:rsidTr="00E7541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56068998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53D973FE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03A12882" w:rsidR="00CE217A" w:rsidRPr="002C2FC0" w:rsidRDefault="00CE217A" w:rsidP="00427FD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to 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mistakes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made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interview and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427FD0">
              <w:rPr>
                <w:rFonts w:ascii="Arial Narrow" w:hAnsi="Arial Narrow" w:cs="Arial"/>
                <w:sz w:val="20"/>
                <w:szCs w:val="20"/>
              </w:rPr>
              <w:t xml:space="preserve"> the interview </w:t>
            </w:r>
            <w:proofErr w:type="spellStart"/>
            <w:r w:rsidRPr="00427FD0">
              <w:rPr>
                <w:rFonts w:ascii="Arial Narrow" w:hAnsi="Arial Narrow" w:cs="Arial"/>
                <w:sz w:val="20"/>
                <w:szCs w:val="20"/>
              </w:rPr>
              <w:t>itself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7779" w14:textId="77777777" w:rsidR="00CE217A" w:rsidRPr="00CE5E35" w:rsidRDefault="00CE217A" w:rsidP="0017049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CE217A" w:rsidRPr="00CE5E35" w14:paraId="7D8D1FF6" w14:textId="77777777" w:rsidTr="00B05C4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41C4" w14:textId="5843C711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95F" w14:textId="3B38B151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460" w14:textId="20A27C49" w:rsidR="00CE217A" w:rsidRPr="002C2FC0" w:rsidRDefault="00CE217A" w:rsidP="00B2137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to 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recognise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‘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psychological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traps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’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assessing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2137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1370"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1523F" w14:textId="77777777" w:rsidR="00CE217A" w:rsidRPr="00CE5E35" w:rsidRDefault="00CE217A" w:rsidP="0017049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CE217A" w:rsidRPr="00CE5E35" w14:paraId="0ADE1CB4" w14:textId="77777777" w:rsidTr="00B05C44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12A" w14:textId="08F7379D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594" w14:textId="0F1D2495" w:rsidR="00CE217A" w:rsidRPr="00304EF9" w:rsidRDefault="00CE217A" w:rsidP="0017049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EF4" w14:textId="01B1A446" w:rsidR="00CE217A" w:rsidRPr="00433A7A" w:rsidRDefault="00CE217A" w:rsidP="00433A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 to 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irregularities</w:t>
            </w:r>
            <w:proofErr w:type="spellEnd"/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 in    </w:t>
            </w:r>
          </w:p>
          <w:p w14:paraId="52179934" w14:textId="3BB119CA" w:rsidR="00CE217A" w:rsidRPr="002C2FC0" w:rsidRDefault="00CE217A" w:rsidP="00433A7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periodic</w:t>
            </w:r>
            <w:proofErr w:type="spellEnd"/>
            <w:r w:rsidRPr="00433A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33A7A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42F1" w14:textId="77777777" w:rsidR="00CE217A" w:rsidRPr="00CE5E35" w:rsidRDefault="00CE217A" w:rsidP="0017049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BD4241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104DF155" w:rsidR="00BD4241" w:rsidRPr="00304EF9" w:rsidRDefault="00BD4241" w:rsidP="00BD424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4B" w14:textId="77777777" w:rsidR="00BD4241" w:rsidRDefault="00BD4241" w:rsidP="00BD42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7E07A1BF" w14:textId="77777777" w:rsidR="00BD4241" w:rsidRPr="00304EF9" w:rsidRDefault="00BD4241" w:rsidP="00BD424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3D4D6530" w:rsidR="00BD4241" w:rsidRPr="002C2FC0" w:rsidRDefault="00BD4241" w:rsidP="00BD42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ready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recognise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the role and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planning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periodic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company's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HR policy and to link the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effects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organisation's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D4241">
              <w:rPr>
                <w:rFonts w:ascii="Arial Narrow" w:hAnsi="Arial Narrow" w:cs="Arial"/>
                <w:sz w:val="20"/>
                <w:szCs w:val="20"/>
              </w:rPr>
              <w:t>personnel</w:t>
            </w:r>
            <w:proofErr w:type="spellEnd"/>
            <w:r w:rsidRPr="00BD4241">
              <w:rPr>
                <w:rFonts w:ascii="Arial Narrow" w:hAnsi="Arial Narrow" w:cs="Arial"/>
                <w:sz w:val="20"/>
                <w:szCs w:val="20"/>
              </w:rPr>
              <w:t xml:space="preserve"> policy.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DB9" w14:textId="77777777" w:rsidR="00BD4241" w:rsidRPr="00BD4241" w:rsidRDefault="00BD4241" w:rsidP="00BD42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D424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Discussion </w:t>
            </w:r>
          </w:p>
          <w:p w14:paraId="5D9988E0" w14:textId="47BDA99C" w:rsidR="00BD4241" w:rsidRPr="00CE5E35" w:rsidRDefault="00BD4241" w:rsidP="00BD42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D4241">
              <w:rPr>
                <w:rFonts w:ascii="Arial Narrow" w:hAnsi="Arial Narrow" w:cs="Arial"/>
                <w:sz w:val="20"/>
                <w:szCs w:val="20"/>
                <w:lang w:val="en-US"/>
              </w:rPr>
              <w:t>Project task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41A32859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22 h</w:t>
            </w:r>
          </w:p>
          <w:p w14:paraId="6DD12012" w14:textId="0E2D5F1E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AC842B6" w14:textId="4AE422E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 h</w:t>
            </w:r>
          </w:p>
          <w:p w14:paraId="3FB3F072" w14:textId="2D1BBD4E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751C2552" w14:textId="1FDE4A2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25 h</w:t>
            </w:r>
          </w:p>
          <w:p w14:paraId="53D0A7CF" w14:textId="4AE3FC5C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C6F5AB5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7E312D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3F76A2D5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7E312D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 h</w:t>
            </w:r>
          </w:p>
          <w:p w14:paraId="75F06957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including practical classes: 2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927B06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927B06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927B0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other (specify) =</w:t>
            </w:r>
          </w:p>
          <w:p w14:paraId="02D7983F" w14:textId="77777777" w:rsidR="00BC7549" w:rsidRPr="00927B0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TOTAL: 52</w:t>
            </w:r>
          </w:p>
          <w:p w14:paraId="23F85EFD" w14:textId="77777777" w:rsidR="00BC7549" w:rsidRPr="00927B0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Number of ECTS points: 2</w:t>
            </w:r>
          </w:p>
          <w:p w14:paraId="0A60C8F0" w14:textId="77777777" w:rsidR="00BC7549" w:rsidRPr="00927B06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927B06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>including practical classes: 2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23B8B125" w:rsidR="00BC7549" w:rsidRPr="00A81688" w:rsidRDefault="00FB59C0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None.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8FB" w14:textId="77777777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directly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3EA38AD2" w14:textId="3E349833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The idea of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117AE0" w14:textId="30A2C567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ongoing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vs.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periodic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0A39C05" w14:textId="2DDED7CC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of performance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evaluative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developmental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).  </w:t>
            </w:r>
          </w:p>
          <w:p w14:paraId="4FA551F1" w14:textId="5A35305C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(performance,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qualifications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behaviour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personality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) and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formulation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4457A92" w14:textId="1092B81B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interview as the most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important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element of the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system.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interview.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conducting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interview.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providing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feedback. </w:t>
            </w:r>
          </w:p>
          <w:p w14:paraId="487BFBB8" w14:textId="53964821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Preparing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interview: a) by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supervisors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, b) by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appraisees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5774A306" w14:textId="3588AAFB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Mistakes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made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interviews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.  </w:t>
            </w:r>
          </w:p>
          <w:p w14:paraId="309F0D93" w14:textId="4AA016BC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Psychological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pitfalls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D8858F" w14:textId="2AB9C52B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6D88B1E3" w14:textId="0604FEF7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Procedure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developing and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implementing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Introductory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training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for management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staff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301D43BB" w14:textId="7C337C7C" w:rsidR="00032509" w:rsidRPr="00032509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periodic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appraisal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areas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of HR policy.</w:t>
            </w:r>
          </w:p>
          <w:p w14:paraId="4936F806" w14:textId="6DBC36EC" w:rsidR="00BC7549" w:rsidRPr="00AA0536" w:rsidRDefault="00032509" w:rsidP="00032509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032509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032509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B01" w14:textId="3D986FDD" w:rsidR="0080688F" w:rsidRPr="0080688F" w:rsidRDefault="0080688F" w:rsidP="0080688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Żukowska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J.,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Metody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oceny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form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rozwoju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kompetencji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, Wolters Kluwer, 2023</w:t>
            </w:r>
          </w:p>
          <w:p w14:paraId="1904A29E" w14:textId="051FDD56" w:rsidR="0080688F" w:rsidRPr="0080688F" w:rsidRDefault="0080688F" w:rsidP="0080688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Jurek P.,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Diagnoza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kompetencji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Modele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kompetencji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uniwersalnych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menedżerskich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handlowych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Uniwersytetu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Gdańskiego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, 2019</w:t>
            </w:r>
          </w:p>
          <w:p w14:paraId="61DF454A" w14:textId="2E05319B" w:rsidR="0080688F" w:rsidRPr="0080688F" w:rsidRDefault="0080688F" w:rsidP="0080688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Spychała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, M.,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Bartecki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, T., &amp;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Brzóska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, M. Employer branding–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nowoczesne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rozwiązanie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problemu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rotacji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Zeszyty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Politechniki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Poznańskiej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Organizacja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, 2019, nr 79, s. 163-179.</w:t>
            </w:r>
          </w:p>
          <w:p w14:paraId="1E57D601" w14:textId="54C2EA61" w:rsidR="00BC7549" w:rsidRPr="008D49AE" w:rsidRDefault="0080688F" w:rsidP="0080688F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Sidor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Rządkowska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Kompetencyjne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ocen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pracowników</w:t>
            </w:r>
            <w:proofErr w:type="spellEnd"/>
            <w:r w:rsidRPr="0080688F">
              <w:rPr>
                <w:rFonts w:ascii="Arial Narrow" w:hAnsi="Arial Narrow"/>
                <w:sz w:val="20"/>
                <w:szCs w:val="20"/>
                <w:lang w:val="en-US"/>
              </w:rPr>
              <w:t>, Wolters Kluwer 2020.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33F" w14:textId="309BE170" w:rsidR="00DD5E46" w:rsidRPr="00DD5E46" w:rsidRDefault="00DD5E46" w:rsidP="00DD5E4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Syguła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Sługocka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Pierwsza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Ocena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Ocena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Okresowa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Członków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Korpusu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Służby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Cywilnej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Indywidualny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Rozwoju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Zawodowego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CeDeWu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Centrum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Doradztwa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Wydawnictw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, 2010</w:t>
            </w:r>
          </w:p>
          <w:p w14:paraId="4125E035" w14:textId="75B73AA6" w:rsidR="00BC7549" w:rsidRPr="004E0CD6" w:rsidRDefault="00DD5E46" w:rsidP="00DD5E4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Forsyth P.,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Okresowe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ma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przegranych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w red. Z.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Wiankowska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Ładyka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Biznes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tom V,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Zasobami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ludzkimi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PWN S.A., Warszawa 2007 Armstrong M. (2010):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Zasobami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Ludzkimi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. Kraków: Wolters Kluwer </w:t>
            </w:r>
            <w:proofErr w:type="spellStart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>Polska</w:t>
            </w:r>
            <w:proofErr w:type="spellEnd"/>
            <w:r w:rsidRPr="00DD5E46">
              <w:rPr>
                <w:rFonts w:ascii="Arial Narrow" w:hAnsi="Arial Narrow"/>
                <w:sz w:val="20"/>
                <w:szCs w:val="20"/>
                <w:lang w:val="en-US"/>
              </w:rPr>
              <w:t xml:space="preserve"> – OFICYNA.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9BF" w14:textId="5E937AFD" w:rsidR="00404E98" w:rsidRPr="00404E98" w:rsidRDefault="00404E98" w:rsidP="00404E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Krowicki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, P. (2022). Customer engagement -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związki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kategoriami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pokrewnymi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konteksty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badawcze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. Journal of Marketing and Market Studies, 29, Article 1. https://doi.org/10.33226/1231-7853.2022.1.4</w:t>
            </w:r>
          </w:p>
          <w:p w14:paraId="1314CF8B" w14:textId="32010F0A" w:rsidR="00404E98" w:rsidRPr="00404E98" w:rsidRDefault="00404E98" w:rsidP="00404E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Dzieńdziora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, J., &amp;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Smolarek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, M. (2015). HUMAN CAPITAL AS A DETERMINANT IN THE IMPLEMENTATION OF PERSONNEL POLICY – PART 1: THEORETICAL ASSUMPTIONS.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Zeszyty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Naukowe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Wyższej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Szkoły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Humanitas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, 16, Article 4. https://doi.org/10.5604/18998658.1186383</w:t>
            </w:r>
          </w:p>
          <w:p w14:paraId="66E4503F" w14:textId="2AB58687" w:rsidR="006B5A76" w:rsidRPr="004E0CD6" w:rsidRDefault="00404E98" w:rsidP="00404E9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K</w:t>
            </w:r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ot-Radojewska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, M. (2017).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Wartość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kapitału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ludzkiego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organizacji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kontekście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elastycznych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form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zatrudnienia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Perspektywa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>interesariuszy</w:t>
            </w:r>
            <w:proofErr w:type="spellEnd"/>
            <w:r w:rsidRPr="00404E98">
              <w:rPr>
                <w:rFonts w:ascii="Arial Narrow" w:hAnsi="Arial Narrow"/>
                <w:sz w:val="20"/>
                <w:szCs w:val="20"/>
                <w:lang w:val="en-US"/>
              </w:rPr>
              <w:t xml:space="preserve"> (s. 246). Akademia WSB. https://katalogi.bn.org.pl/discovery/search?query=isbn,exact,9788365621313&amp;tab=LibraryCatalog&amp;search_scope=NLOP_IZ_NZ&amp;vid=48OMNIS_NLOP:48OMNIS_NLOP&amp;lang=pl&amp;offset=0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75F" w14:textId="77777777" w:rsidR="00CA1C73" w:rsidRPr="00CA1C73" w:rsidRDefault="00CA1C73" w:rsidP="00CA1C7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80717AE" w14:textId="77777777" w:rsidR="00CA1C73" w:rsidRPr="00CA1C73" w:rsidRDefault="00CA1C73" w:rsidP="00CA1C7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Updating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theoretical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>, role-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playing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, developing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original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models</w:t>
            </w:r>
            <w:proofErr w:type="spellEnd"/>
          </w:p>
          <w:p w14:paraId="032444D5" w14:textId="77777777" w:rsidR="00CA1C73" w:rsidRPr="00CA1C73" w:rsidRDefault="00CA1C73" w:rsidP="00CA1C7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C3C8D5A" w14:textId="217151F5" w:rsidR="00BC7549" w:rsidRPr="00AD1371" w:rsidRDefault="00CA1C73" w:rsidP="00CA1C7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707EA7BD" w:rsidR="00BC7549" w:rsidRPr="00DC666F" w:rsidRDefault="00CA1C73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A1C73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case study, assessment templates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40EC13CD" w:rsidR="00BC7549" w:rsidRPr="00BD265B" w:rsidRDefault="00CA1C73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D4241">
              <w:rPr>
                <w:rFonts w:ascii="Arial Narrow" w:hAnsi="Arial Narrow" w:cs="Arial"/>
                <w:sz w:val="20"/>
                <w:szCs w:val="20"/>
                <w:lang w:val="en-US"/>
              </w:rPr>
              <w:t>Project task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250F4A0A" w:rsidR="00BC7549" w:rsidRPr="00BD265B" w:rsidRDefault="00CA1C73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graded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CA1C73">
              <w:rPr>
                <w:rFonts w:ascii="Arial Narrow" w:hAnsi="Arial Narrow" w:cs="Arial"/>
                <w:sz w:val="20"/>
                <w:szCs w:val="20"/>
              </w:rPr>
              <w:t>multiple</w:t>
            </w:r>
            <w:proofErr w:type="spellEnd"/>
            <w:r w:rsidRPr="00CA1C73">
              <w:rPr>
                <w:rFonts w:ascii="Arial Narrow" w:hAnsi="Arial Narrow" w:cs="Arial"/>
                <w:sz w:val="20"/>
                <w:szCs w:val="20"/>
              </w:rPr>
              <w:t>-choice test.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379" w14:textId="77777777" w:rsidR="0089179C" w:rsidRPr="0089179C" w:rsidRDefault="0089179C" w:rsidP="0089179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Face-to-face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responses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class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, performance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 (role-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playing</w:t>
            </w:r>
            <w:proofErr w:type="spellEnd"/>
            <w:r w:rsidRPr="0089179C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77E6E60B" w14:textId="39525C6E" w:rsidR="00BC7549" w:rsidRPr="00BD265B" w:rsidRDefault="0089179C" w:rsidP="0089179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9179C">
              <w:rPr>
                <w:rFonts w:ascii="Arial Narrow" w:hAnsi="Arial Narrow" w:cs="Arial"/>
                <w:sz w:val="20"/>
                <w:szCs w:val="20"/>
              </w:rPr>
              <w:t xml:space="preserve">E-learning: Not </w:t>
            </w:r>
            <w:proofErr w:type="spellStart"/>
            <w:r w:rsidRPr="0089179C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32509"/>
    <w:rsid w:val="0006528A"/>
    <w:rsid w:val="00170498"/>
    <w:rsid w:val="00276D78"/>
    <w:rsid w:val="002C162F"/>
    <w:rsid w:val="003B0B6E"/>
    <w:rsid w:val="003B6999"/>
    <w:rsid w:val="00404E98"/>
    <w:rsid w:val="00427FD0"/>
    <w:rsid w:val="00433A7A"/>
    <w:rsid w:val="00440ABA"/>
    <w:rsid w:val="00445B6E"/>
    <w:rsid w:val="00456B3A"/>
    <w:rsid w:val="005F124D"/>
    <w:rsid w:val="006B5A76"/>
    <w:rsid w:val="007468DF"/>
    <w:rsid w:val="007D751D"/>
    <w:rsid w:val="007E312D"/>
    <w:rsid w:val="00802D5D"/>
    <w:rsid w:val="0080688F"/>
    <w:rsid w:val="00850FBF"/>
    <w:rsid w:val="0087269B"/>
    <w:rsid w:val="0089179C"/>
    <w:rsid w:val="008F088F"/>
    <w:rsid w:val="00927B06"/>
    <w:rsid w:val="0095196D"/>
    <w:rsid w:val="00952633"/>
    <w:rsid w:val="0095594D"/>
    <w:rsid w:val="00A6242F"/>
    <w:rsid w:val="00AE2E2C"/>
    <w:rsid w:val="00B21370"/>
    <w:rsid w:val="00BC1C57"/>
    <w:rsid w:val="00BC7549"/>
    <w:rsid w:val="00BD4241"/>
    <w:rsid w:val="00BF0EFC"/>
    <w:rsid w:val="00C00E45"/>
    <w:rsid w:val="00C83CCE"/>
    <w:rsid w:val="00CA1C73"/>
    <w:rsid w:val="00CE217A"/>
    <w:rsid w:val="00D02BDC"/>
    <w:rsid w:val="00D07F8C"/>
    <w:rsid w:val="00DD5E46"/>
    <w:rsid w:val="00E973A7"/>
    <w:rsid w:val="00F0198A"/>
    <w:rsid w:val="00F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468D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1cb1aa24-5898-4171-ad68-fa1adeb243d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1795A-B9B6-4843-95F7-3CAB2C3A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31</cp:revision>
  <dcterms:created xsi:type="dcterms:W3CDTF">2026-01-24T13:38:00Z</dcterms:created>
  <dcterms:modified xsi:type="dcterms:W3CDTF">2026-02-27T19:57:00Z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