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9"/>
        <w:gridCol w:w="1258"/>
        <w:gridCol w:w="1174"/>
      </w:tblGrid>
      <w:tr w:rsidR="0012441D" w:rsidRPr="00CA17CA" w:rsidTr="00CA17CA">
        <w:trPr>
          <w:trHeight w:val="557"/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CA17C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CA17C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CA17CA" w:rsidTr="00CA17C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A17CA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CA17CA" w:rsidTr="00CA17C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A17CA" w:rsidRDefault="0012441D" w:rsidP="002F0C0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2F0C06" w:rsidRPr="00CA17CA">
              <w:rPr>
                <w:rFonts w:ascii="Arial Narrow" w:hAnsi="Arial Narrow"/>
                <w:b/>
                <w:sz w:val="20"/>
                <w:szCs w:val="20"/>
              </w:rPr>
              <w:t>Bankowość i ubezpieczenia/(</w:t>
            </w:r>
            <w:proofErr w:type="spellStart"/>
            <w:r w:rsidR="002F0C06" w:rsidRPr="00CA17CA">
              <w:rPr>
                <w:rFonts w:ascii="Arial Narrow" w:hAnsi="Arial Narrow"/>
                <w:b/>
                <w:sz w:val="20"/>
                <w:szCs w:val="20"/>
              </w:rPr>
              <w:t>Bancassurance</w:t>
            </w:r>
            <w:proofErr w:type="spellEnd"/>
            <w:r w:rsidR="002F0C06" w:rsidRPr="00CA17CA">
              <w:rPr>
                <w:rFonts w:ascii="Arial Narrow" w:hAnsi="Arial Narrow"/>
                <w:b/>
                <w:sz w:val="20"/>
                <w:szCs w:val="20"/>
              </w:rPr>
              <w:t>)Związki bankowo-ubezpieczeniowe</w:t>
            </w:r>
          </w:p>
        </w:tc>
      </w:tr>
      <w:tr w:rsidR="0012441D" w:rsidRPr="00CA17CA" w:rsidTr="00CA17C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A17CA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CA17CA" w:rsidTr="00CA17C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A17CA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CA17CA" w:rsidTr="00CA17CA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CA17CA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CA17CA" w:rsidTr="00CA17CA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CA17CA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A17C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2F0C06" w:rsidRPr="00CA17CA" w:rsidTr="00CA17CA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6" w:rsidRPr="00CA17CA" w:rsidRDefault="002F0C06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2F0C06" w:rsidRPr="00CA17CA" w:rsidRDefault="002F0C06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2B55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2F0C06" w:rsidRPr="00CA17CA" w:rsidRDefault="002F0C06" w:rsidP="002B55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0C06" w:rsidRPr="00CA17CA" w:rsidTr="00CA17CA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6" w:rsidRPr="00CA17CA" w:rsidRDefault="002F0C06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2F0C06" w:rsidRPr="00CA17CA" w:rsidRDefault="002F0C06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2B55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2F0C06" w:rsidRPr="00CA17CA" w:rsidRDefault="002F0C06" w:rsidP="002B55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0C06" w:rsidRPr="00CA17CA" w:rsidTr="00CA17CA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2F0C06" w:rsidRPr="00CA17CA" w:rsidRDefault="002F0C06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06" w:rsidRPr="00CA17CA" w:rsidRDefault="002F0C06" w:rsidP="002B5558">
            <w:pPr>
              <w:rPr>
                <w:rFonts w:ascii="Arial Narrow" w:hAnsi="Arial Narrow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Dr Janusz Cichy</w:t>
            </w:r>
          </w:p>
        </w:tc>
      </w:tr>
      <w:tr w:rsidR="002F0C06" w:rsidRPr="00CA17CA" w:rsidTr="00CA17CA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2F0C06" w:rsidRPr="00CA17CA" w:rsidRDefault="002F0C0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2B5558">
            <w:pPr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2F0C06" w:rsidRPr="00CA17CA" w:rsidTr="00CA17CA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2F0C06" w:rsidRPr="00CA17CA" w:rsidRDefault="002F0C06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2B5558">
            <w:pPr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Zaznajomienie studentów z działalnością banku w obszarze usług ubezpieczeniowych. Zaznajomienie studentów z korzyściami ze wspólnej współpracy banku i zakładu  ubezpieczeniowego. Nabycie przez studentów umiejętności właściwego doboru i wspólnego wykorzystania produktów bankowych i ubezpieczeniowych.</w:t>
            </w:r>
          </w:p>
        </w:tc>
      </w:tr>
      <w:tr w:rsidR="002F0C06" w:rsidRPr="00CA17CA" w:rsidTr="00CA17CA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F0C06" w:rsidRPr="00CA17CA" w:rsidRDefault="002F0C0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0C06" w:rsidRPr="00CA17CA" w:rsidRDefault="002F0C0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0C06" w:rsidRPr="00CA17CA" w:rsidRDefault="002F0C0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0C06" w:rsidRPr="00CA17CA" w:rsidRDefault="002F0C0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2F0C06" w:rsidRPr="00CA17CA" w:rsidTr="00CA17CA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0B4375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BiU_W02</w:t>
            </w:r>
          </w:p>
          <w:p w:rsidR="000B4375" w:rsidRDefault="000B4375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BiU_W03</w:t>
            </w:r>
          </w:p>
          <w:p w:rsidR="000B4375" w:rsidRDefault="000B4375" w:rsidP="000B4375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BiU_W04</w:t>
            </w:r>
          </w:p>
          <w:p w:rsidR="000B4375" w:rsidRPr="008A5721" w:rsidRDefault="000B4375" w:rsidP="000B4375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  <w:p w:rsidR="000B4375" w:rsidRPr="009E57CC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0B4375" w:rsidRPr="009E57CC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2F0C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>d</w:t>
            </w:r>
            <w:r w:rsidRPr="00CA17CA">
              <w:rPr>
                <w:rFonts w:ascii="Arial Narrow" w:hAnsi="Arial Narrow"/>
                <w:sz w:val="20"/>
                <w:szCs w:val="20"/>
              </w:rPr>
              <w:t>efiniowanie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zakres</w:t>
            </w:r>
            <w:r w:rsidRPr="00CA17CA">
              <w:rPr>
                <w:rFonts w:ascii="Arial Narrow" w:hAnsi="Arial Narrow"/>
                <w:sz w:val="20"/>
                <w:szCs w:val="20"/>
              </w:rPr>
              <w:t>u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współpracy pomiędzy bankiem a zakładem ubezpieczeniowym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 xml:space="preserve">Test wiedzy </w:t>
            </w:r>
          </w:p>
        </w:tc>
      </w:tr>
      <w:tr w:rsidR="000B4375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BiU_W02</w:t>
            </w:r>
          </w:p>
          <w:p w:rsidR="000B4375" w:rsidRDefault="000B4375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BiU_W03</w:t>
            </w:r>
          </w:p>
          <w:p w:rsidR="000B4375" w:rsidRDefault="000B4375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BiU_W04</w:t>
            </w:r>
          </w:p>
          <w:p w:rsidR="000B4375" w:rsidRPr="008A5721" w:rsidRDefault="000B4375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  <w:p w:rsidR="000B4375" w:rsidRPr="009E57CC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0B4375" w:rsidRPr="009E57CC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2F0C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F0C06">
              <w:rPr>
                <w:rFonts w:ascii="Arial Narrow" w:hAnsi="Arial Narrow"/>
                <w:sz w:val="20"/>
                <w:szCs w:val="20"/>
              </w:rPr>
              <w:t>zna</w:t>
            </w:r>
            <w:r w:rsidRPr="00CA17CA">
              <w:rPr>
                <w:rFonts w:ascii="Arial Narrow" w:hAnsi="Arial Narrow"/>
                <w:sz w:val="20"/>
                <w:szCs w:val="20"/>
              </w:rPr>
              <w:t>jomośc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podstawowych produktów finansowych wspólnie oferowanych klientom i uwarunkowań ekonomicznych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ich oferty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 xml:space="preserve">Test wiedzy </w:t>
            </w:r>
          </w:p>
        </w:tc>
      </w:tr>
      <w:tr w:rsidR="000B4375" w:rsidRPr="00CA17CA" w:rsidTr="00CA17CA">
        <w:trPr>
          <w:trHeight w:val="288"/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0B4375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BiU_U05</w:t>
            </w:r>
          </w:p>
          <w:p w:rsidR="000B4375" w:rsidRPr="00CA17CA" w:rsidRDefault="000B437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0B4375" w:rsidRPr="009E57CC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0B4375" w:rsidRPr="009E57CC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umiejętność 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prawidłowego wyboru wspólnie produktów bankowych i ubezpieczeniowych</w:t>
            </w:r>
          </w:p>
          <w:p w:rsidR="000B4375" w:rsidRPr="00CA17CA" w:rsidRDefault="000B437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2F0C06" w:rsidRDefault="000B4375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>Dyskusja, analiza przypadków</w:t>
            </w:r>
          </w:p>
          <w:p w:rsidR="000B4375" w:rsidRPr="00CA17CA" w:rsidRDefault="000B4375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4375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BiU_U05</w:t>
            </w:r>
          </w:p>
          <w:p w:rsidR="000B4375" w:rsidRPr="00CA17CA" w:rsidRDefault="000B4375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0B4375" w:rsidRPr="009E57CC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0B4375" w:rsidRPr="009E57CC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umiejętność</w:t>
            </w:r>
            <w:r w:rsidRPr="00CA17CA">
              <w:rPr>
                <w:rFonts w:ascii="Arial Narrow" w:hAnsi="Arial Narrow"/>
                <w:sz w:val="20"/>
                <w:szCs w:val="20"/>
              </w:rPr>
              <w:t xml:space="preserve"> negocjowania warunków finansowych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wspólnego nabycia produktów bankowych i ubezpieczeniowych,</w:t>
            </w:r>
          </w:p>
          <w:p w:rsidR="000B4375" w:rsidRPr="00CA17CA" w:rsidRDefault="000B437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2F0C06" w:rsidRDefault="000B4375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>Dyskusja, analiza przypadków</w:t>
            </w:r>
          </w:p>
          <w:p w:rsidR="000B4375" w:rsidRPr="00CA17CA" w:rsidRDefault="000B4375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4375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BiU_U05</w:t>
            </w:r>
          </w:p>
          <w:p w:rsidR="000B4375" w:rsidRPr="00CA17CA" w:rsidRDefault="000B4375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0B4375" w:rsidRPr="009E57CC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0B4375" w:rsidRPr="009E57CC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zdolność oceny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korzyści dla banku i klienta ze wspólnej oferty, </w:t>
            </w:r>
          </w:p>
          <w:p w:rsidR="000B4375" w:rsidRPr="00CA17CA" w:rsidRDefault="000B437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2F0C06" w:rsidRDefault="000B4375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>Dyskusja, analiza przypadków</w:t>
            </w:r>
          </w:p>
          <w:p w:rsidR="000B4375" w:rsidRPr="00CA17CA" w:rsidRDefault="000B4375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4375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BiU_U05</w:t>
            </w:r>
          </w:p>
          <w:p w:rsidR="000B4375" w:rsidRPr="00CA17CA" w:rsidRDefault="000B4375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0B4375" w:rsidRPr="009E57CC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0B4375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0B4375" w:rsidRPr="009E57CC" w:rsidRDefault="000B437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</w:t>
            </w:r>
            <w:r w:rsidRPr="00CA17CA">
              <w:rPr>
                <w:rFonts w:ascii="Arial Narrow" w:hAnsi="Arial Narrow"/>
                <w:sz w:val="20"/>
                <w:szCs w:val="20"/>
              </w:rPr>
              <w:t>jętność wyrażania opinii i zachowania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krytycyzm</w:t>
            </w:r>
            <w:r w:rsidRPr="00CA17CA">
              <w:rPr>
                <w:rFonts w:ascii="Arial Narrow" w:hAnsi="Arial Narrow"/>
                <w:sz w:val="20"/>
                <w:szCs w:val="20"/>
              </w:rPr>
              <w:t>u dotyczącego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produktów bankowo - ubezpieczeniowych</w:t>
            </w:r>
          </w:p>
          <w:p w:rsidR="000B4375" w:rsidRPr="00CA17CA" w:rsidRDefault="000B437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2F0C06" w:rsidRDefault="000B4375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>Dyskusja, analiza przypadków</w:t>
            </w:r>
          </w:p>
          <w:p w:rsidR="000B4375" w:rsidRPr="00CA17CA" w:rsidRDefault="000B4375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B4375" w:rsidRDefault="000B4375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0B4375" w:rsidRPr="00CA17CA" w:rsidTr="00CA17CA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lastRenderedPageBreak/>
              <w:t>Kompetencje społeczne</w:t>
            </w:r>
          </w:p>
        </w:tc>
      </w:tr>
      <w:tr w:rsidR="006753A2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2" w:rsidRDefault="006753A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BiU_K01</w:t>
            </w:r>
          </w:p>
          <w:p w:rsidR="006753A2" w:rsidRPr="00A37C3F" w:rsidRDefault="006753A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2" w:rsidRDefault="006753A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6753A2" w:rsidRPr="009E57CC" w:rsidRDefault="006753A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2" w:rsidRPr="009E57CC" w:rsidRDefault="006753A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S1P_K03 </w:t>
            </w: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2" w:rsidRPr="002F0C06" w:rsidRDefault="006753A2" w:rsidP="002F0C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 xml:space="preserve">wrażliwość na etyczną obsługę klienta, </w:t>
            </w:r>
          </w:p>
          <w:p w:rsidR="006753A2" w:rsidRPr="00CA17CA" w:rsidRDefault="006753A2" w:rsidP="002F0C0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2" w:rsidRPr="002F0C06" w:rsidRDefault="006753A2" w:rsidP="002F0C06">
            <w:pPr>
              <w:numPr>
                <w:ilvl w:val="0"/>
                <w:numId w:val="18"/>
              </w:numPr>
              <w:spacing w:after="0" w:line="240" w:lineRule="auto"/>
              <w:ind w:left="357" w:hanging="284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a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ktywność studentów pozwala na </w:t>
            </w:r>
          </w:p>
          <w:p w:rsidR="006753A2" w:rsidRPr="00CA17CA" w:rsidRDefault="006753A2" w:rsidP="002F0C06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wykreowanie i ocenę postaw</w:t>
            </w:r>
          </w:p>
        </w:tc>
      </w:tr>
      <w:tr w:rsidR="006753A2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2" w:rsidRDefault="006753A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0" w:colLast="2"/>
            <w:r>
              <w:rPr>
                <w:rFonts w:ascii="Arial Narrow" w:hAnsi="Arial Narrow" w:cs="Arial"/>
                <w:bCs/>
                <w:sz w:val="20"/>
                <w:szCs w:val="20"/>
              </w:rPr>
              <w:t>BiU_K01</w:t>
            </w:r>
          </w:p>
          <w:p w:rsidR="006753A2" w:rsidRPr="00A37C3F" w:rsidRDefault="006753A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2" w:rsidRDefault="006753A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6753A2" w:rsidRPr="009E57CC" w:rsidRDefault="006753A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2" w:rsidRPr="009E57CC" w:rsidRDefault="006753A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S1P_K03 </w:t>
            </w: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2" w:rsidRPr="00CA17CA" w:rsidRDefault="006753A2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świadomość własnej wiedzy i umiejętności i widzi potrzebę ciągłego samokształcenia w zakresie przedmiotu wykładu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A2" w:rsidRPr="002F0C06" w:rsidRDefault="006753A2" w:rsidP="002F0C06">
            <w:pPr>
              <w:numPr>
                <w:ilvl w:val="0"/>
                <w:numId w:val="18"/>
              </w:numPr>
              <w:spacing w:after="0" w:line="240" w:lineRule="auto"/>
              <w:ind w:left="357" w:hanging="284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a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ktywność studentów pozwala na </w:t>
            </w:r>
          </w:p>
          <w:p w:rsidR="006753A2" w:rsidRPr="00CA17CA" w:rsidRDefault="006753A2" w:rsidP="002F0C06">
            <w:pPr>
              <w:autoSpaceDE w:val="0"/>
              <w:autoSpaceDN w:val="0"/>
              <w:adjustRightInd w:val="0"/>
              <w:spacing w:after="0"/>
              <w:ind w:left="356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wykreowanie i ocenę postaw</w:t>
            </w:r>
          </w:p>
        </w:tc>
      </w:tr>
      <w:bookmarkEnd w:id="0"/>
      <w:tr w:rsidR="000B4375" w:rsidRPr="00CA17CA" w:rsidTr="00CA17CA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0B4375" w:rsidRPr="00CA17CA" w:rsidRDefault="000B437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0B4375" w:rsidRPr="00CA17CA" w:rsidRDefault="000B4375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B4375" w:rsidRPr="00CA17CA" w:rsidTr="00CA17CA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F0C06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0B4375" w:rsidRPr="00CA17CA" w:rsidRDefault="000B4375" w:rsidP="002F0C0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2"/>
          </w:tcPr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0B4375" w:rsidRPr="002F0C06" w:rsidRDefault="000B4375" w:rsidP="002F0C0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F0C06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0B4375" w:rsidRPr="00CA17CA" w:rsidRDefault="000B4375" w:rsidP="002F0C0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</w:tc>
      </w:tr>
      <w:tr w:rsidR="000B4375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0B4375" w:rsidRPr="00CA17CA" w:rsidRDefault="000B437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CA17C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Wiedza z zakresu bankowości i ubezpieczeń</w:t>
            </w:r>
          </w:p>
        </w:tc>
      </w:tr>
      <w:tr w:rsidR="000B4375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0B4375" w:rsidRPr="00CA17CA" w:rsidRDefault="000B437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CA17CA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0B4375" w:rsidRPr="00CA17CA" w:rsidRDefault="000B437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0B4375" w:rsidRPr="00CA17CA" w:rsidRDefault="000B437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B4375" w:rsidRPr="00CA17CA" w:rsidRDefault="000B437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Istota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– charakterystyka działania, formy, podstawy prawne, nadzór nad grupami bankowo-ubezpieczeniowymi</w:t>
            </w:r>
          </w:p>
          <w:p w:rsidR="000B4375" w:rsidRPr="00CA17CA" w:rsidRDefault="000B4375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Współpraca banku z instytucjami  ubezpieczeniowymi w Polsce. Współpraca banków z towarzystwami ubezpieczeń non-life. Współpraca banków z towarzystwami ubezpieczeń na życie – czynniki determinujące</w:t>
            </w:r>
          </w:p>
          <w:p w:rsidR="000B4375" w:rsidRPr="00CA17CA" w:rsidRDefault="000B4375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Produkty oferowane w ramach grup bankowo- ubezpieczeniowych w Polsce</w:t>
            </w:r>
          </w:p>
          <w:p w:rsidR="000B4375" w:rsidRPr="00CA17CA" w:rsidRDefault="000B4375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Analiza opłacalności działania grup bankowo- ubezpieczeniowych – efekt synergii</w:t>
            </w:r>
          </w:p>
          <w:p w:rsidR="000B4375" w:rsidRPr="00CA17CA" w:rsidRDefault="000B4375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Ryzyko występujące w działalności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bancassurance</w:t>
            </w:r>
            <w:proofErr w:type="spellEnd"/>
          </w:p>
          <w:p w:rsidR="000B4375" w:rsidRPr="00CA17CA" w:rsidRDefault="000B4375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Analiza rynku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w Polsce. Działanie grup bankowo- ubezpieczeniowych w wybranych krajach – Europa i USA</w:t>
            </w:r>
          </w:p>
          <w:p w:rsidR="000B4375" w:rsidRPr="00CA17CA" w:rsidRDefault="000B4375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Konglomeraty finansowe jako forma współpracy bankowo-ubezpieczeniowej</w:t>
            </w:r>
          </w:p>
        </w:tc>
      </w:tr>
      <w:tr w:rsidR="000B4375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0B4375" w:rsidRPr="00CA17CA" w:rsidRDefault="000B437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0B4375" w:rsidRPr="00CA17CA" w:rsidRDefault="000B437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Swacha-Lech M. </w:t>
            </w:r>
            <w:proofErr w:type="spellStart"/>
            <w:r w:rsidRPr="00CA17C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. Sprzedaż produktów bankowo-ubezpieczeniowych, Cedewu.pl Warszawa 2008</w:t>
            </w:r>
          </w:p>
          <w:p w:rsidR="000B4375" w:rsidRPr="00CA17CA" w:rsidRDefault="000B4375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Cichy J.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Szewieczek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D.,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w Polsce, Wydawnictwo UE, Katowice 2012</w:t>
            </w:r>
          </w:p>
          <w:p w:rsidR="000B4375" w:rsidRPr="00CA17CA" w:rsidRDefault="000B4375" w:rsidP="00CA17CA">
            <w:pPr>
              <w:pStyle w:val="Nagwek1"/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  <w:r w:rsidRPr="00CA17CA">
              <w:rPr>
                <w:b w:val="0"/>
                <w:color w:val="000000"/>
                <w:sz w:val="20"/>
                <w:szCs w:val="20"/>
              </w:rPr>
              <w:t xml:space="preserve">Śliperski M., </w:t>
            </w:r>
            <w:proofErr w:type="spellStart"/>
            <w:r w:rsidRPr="00CA17CA">
              <w:rPr>
                <w:b w:val="0"/>
                <w:color w:val="000000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b w:val="0"/>
                <w:color w:val="000000"/>
                <w:sz w:val="20"/>
                <w:szCs w:val="20"/>
              </w:rPr>
              <w:t xml:space="preserve">. Związki bankowo-ubezpieczeniowe, </w:t>
            </w:r>
            <w:proofErr w:type="spellStart"/>
            <w:r w:rsidRPr="00CA17CA">
              <w:rPr>
                <w:b w:val="0"/>
                <w:color w:val="000000"/>
                <w:sz w:val="20"/>
                <w:szCs w:val="20"/>
              </w:rPr>
              <w:t>Difin</w:t>
            </w:r>
            <w:proofErr w:type="spellEnd"/>
            <w:r w:rsidRPr="00CA17CA">
              <w:rPr>
                <w:b w:val="0"/>
                <w:color w:val="000000"/>
                <w:sz w:val="20"/>
                <w:szCs w:val="20"/>
              </w:rPr>
              <w:t>, Warszawa 2002</w:t>
            </w:r>
          </w:p>
        </w:tc>
      </w:tr>
      <w:tr w:rsidR="000B4375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75" w:rsidRPr="00CA17CA" w:rsidRDefault="000B437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0B4375" w:rsidRPr="00CA17CA" w:rsidRDefault="000B437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CA17CA">
            <w:pPr>
              <w:numPr>
                <w:ilvl w:val="0"/>
                <w:numId w:val="18"/>
              </w:numPr>
              <w:shd w:val="clear" w:color="auto" w:fill="FFFFFF"/>
              <w:spacing w:after="0" w:line="250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Kociemska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H., Usługa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dla jednostek samorządu terytorialnego,  Cedewu.pl, Warszawa</w:t>
            </w:r>
          </w:p>
          <w:p w:rsidR="000B4375" w:rsidRPr="00CA17CA" w:rsidRDefault="000B4375" w:rsidP="00CA17CA">
            <w:pPr>
              <w:numPr>
                <w:ilvl w:val="0"/>
                <w:numId w:val="18"/>
              </w:numPr>
              <w:shd w:val="clear" w:color="auto" w:fill="FFFFFF"/>
              <w:spacing w:after="0" w:line="250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A17C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Korenik</w:t>
            </w:r>
            <w:proofErr w:type="spellEnd"/>
            <w:r w:rsidRPr="00CA17C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D. ( red), Innowacyjne usługi banku, PWN, Warszawa 2006</w:t>
            </w:r>
          </w:p>
          <w:p w:rsidR="000B4375" w:rsidRPr="00CA17CA" w:rsidRDefault="000B4375" w:rsidP="00CA17CA">
            <w:pPr>
              <w:numPr>
                <w:ilvl w:val="0"/>
                <w:numId w:val="18"/>
              </w:numPr>
              <w:shd w:val="clear" w:color="auto" w:fill="FFFFFF"/>
              <w:spacing w:after="0" w:line="250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A17CA">
              <w:rPr>
                <w:rFonts w:ascii="Arial Narrow" w:hAnsi="Arial Narrow"/>
                <w:color w:val="000000"/>
                <w:sz w:val="20"/>
              </w:rPr>
              <w:t>Iwanicz</w:t>
            </w:r>
            <w:proofErr w:type="spellEnd"/>
            <w:r w:rsidRPr="00CA17CA">
              <w:rPr>
                <w:rFonts w:ascii="Arial Narrow" w:hAnsi="Arial Narrow"/>
                <w:color w:val="000000"/>
                <w:sz w:val="20"/>
              </w:rPr>
              <w:t>-Drozdowska M.,(red.)  Konglomeraty finansowe, PWE, Warszawa 2007</w:t>
            </w:r>
          </w:p>
        </w:tc>
      </w:tr>
      <w:tr w:rsidR="000B4375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0B4375" w:rsidRPr="00CA17CA" w:rsidRDefault="000B437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CA17CA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0B4375" w:rsidRPr="00CA17CA" w:rsidRDefault="000B437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CA17CA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Wykład problematyki teoretycznej popartej praktycznymi przykładami wykorzystanie prezentacji multimedialnych</w:t>
            </w:r>
          </w:p>
        </w:tc>
      </w:tr>
      <w:tr w:rsidR="000B4375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75" w:rsidRPr="00CA17CA" w:rsidRDefault="000B437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CA17C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</w:rPr>
              <w:t xml:space="preserve">Rzutnik multimedialny, materiały z banków oraz firm ubezpieczeniowych </w:t>
            </w:r>
          </w:p>
        </w:tc>
      </w:tr>
      <w:tr w:rsidR="000B4375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75" w:rsidRPr="00CA17CA" w:rsidRDefault="000B437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0B4375" w:rsidRPr="00CA17CA" w:rsidRDefault="000B437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CA17C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:rsidR="000B4375" w:rsidRPr="00CA17CA" w:rsidRDefault="000B4375" w:rsidP="006C2D3E">
            <w:pPr>
              <w:spacing w:after="0" w:line="24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4375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0B4375" w:rsidRPr="00CA17CA" w:rsidRDefault="000B437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75" w:rsidRPr="00CA17CA" w:rsidRDefault="000B4375" w:rsidP="00CA17C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Wykład zaliczenie na ocenę</w:t>
            </w:r>
          </w:p>
          <w:p w:rsidR="000B4375" w:rsidRPr="00CA17CA" w:rsidRDefault="000B4375" w:rsidP="006C2D3E">
            <w:pPr>
              <w:autoSpaceDE w:val="0"/>
              <w:autoSpaceDN w:val="0"/>
              <w:adjustRightInd w:val="0"/>
              <w:spacing w:after="0"/>
              <w:ind w:left="72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B4375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75" w:rsidRPr="00CA17CA" w:rsidRDefault="000B437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75" w:rsidRPr="00CA17CA" w:rsidRDefault="000B4375" w:rsidP="00CA17CA">
            <w:pPr>
              <w:numPr>
                <w:ilvl w:val="0"/>
                <w:numId w:val="21"/>
              </w:numPr>
              <w:spacing w:after="0" w:line="240" w:lineRule="auto"/>
              <w:ind w:left="444" w:hanging="42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Test wyboru oraz uzupełnień, </w:t>
            </w:r>
          </w:p>
          <w:p w:rsidR="000B4375" w:rsidRPr="00CA17CA" w:rsidRDefault="000B4375" w:rsidP="00CA1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CA1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708"/>
    <w:multiLevelType w:val="hybridMultilevel"/>
    <w:tmpl w:val="AF6A0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41196"/>
    <w:multiLevelType w:val="hybridMultilevel"/>
    <w:tmpl w:val="B7F85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60767"/>
    <w:multiLevelType w:val="hybridMultilevel"/>
    <w:tmpl w:val="3E4096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B18C8"/>
    <w:multiLevelType w:val="hybridMultilevel"/>
    <w:tmpl w:val="C2B2D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A24317"/>
    <w:multiLevelType w:val="hybridMultilevel"/>
    <w:tmpl w:val="29949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18"/>
  </w:num>
  <w:num w:numId="6">
    <w:abstractNumId w:val="11"/>
  </w:num>
  <w:num w:numId="7">
    <w:abstractNumId w:val="20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17"/>
  </w:num>
  <w:num w:numId="13">
    <w:abstractNumId w:val="3"/>
  </w:num>
  <w:num w:numId="14">
    <w:abstractNumId w:val="12"/>
  </w:num>
  <w:num w:numId="15">
    <w:abstractNumId w:val="6"/>
  </w:num>
  <w:num w:numId="16">
    <w:abstractNumId w:val="10"/>
  </w:num>
  <w:num w:numId="17">
    <w:abstractNumId w:val="9"/>
  </w:num>
  <w:num w:numId="18">
    <w:abstractNumId w:val="0"/>
  </w:num>
  <w:num w:numId="19">
    <w:abstractNumId w:val="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B4375"/>
    <w:rsid w:val="000D3E57"/>
    <w:rsid w:val="001060A2"/>
    <w:rsid w:val="0012441D"/>
    <w:rsid w:val="0013685B"/>
    <w:rsid w:val="001D2454"/>
    <w:rsid w:val="001F77DA"/>
    <w:rsid w:val="002000FE"/>
    <w:rsid w:val="002844A9"/>
    <w:rsid w:val="002F0C06"/>
    <w:rsid w:val="00305FCA"/>
    <w:rsid w:val="00344099"/>
    <w:rsid w:val="003714CC"/>
    <w:rsid w:val="003A7EEB"/>
    <w:rsid w:val="00435E9A"/>
    <w:rsid w:val="00532A84"/>
    <w:rsid w:val="00565D3A"/>
    <w:rsid w:val="005E6031"/>
    <w:rsid w:val="00611D4C"/>
    <w:rsid w:val="0067002A"/>
    <w:rsid w:val="006753A2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BF78A3"/>
    <w:rsid w:val="00CA17CA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7D81F-8F94-412C-A8EF-16926B04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4</cp:revision>
  <cp:lastPrinted>2015-01-15T07:46:00Z</cp:lastPrinted>
  <dcterms:created xsi:type="dcterms:W3CDTF">2015-04-29T09:39:00Z</dcterms:created>
  <dcterms:modified xsi:type="dcterms:W3CDTF">2015-05-21T07:59:00Z</dcterms:modified>
</cp:coreProperties>
</file>